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C5538" w14:textId="3D100FF2" w:rsidR="00936CC3" w:rsidRDefault="00C36603">
      <w:pPr>
        <w:rPr>
          <w:b/>
          <w:bCs/>
          <w:sz w:val="28"/>
          <w:szCs w:val="28"/>
        </w:rPr>
      </w:pPr>
      <w:r w:rsidRPr="008559E7">
        <w:rPr>
          <w:b/>
          <w:bCs/>
          <w:sz w:val="28"/>
          <w:szCs w:val="28"/>
        </w:rPr>
        <w:t xml:space="preserve">Handreiking </w:t>
      </w:r>
      <w:r w:rsidR="00BE394E" w:rsidRPr="008559E7">
        <w:rPr>
          <w:b/>
          <w:bCs/>
          <w:sz w:val="28"/>
          <w:szCs w:val="28"/>
        </w:rPr>
        <w:t>programma van eisen</w:t>
      </w:r>
      <w:r w:rsidR="002A5A2B" w:rsidRPr="008559E7">
        <w:rPr>
          <w:b/>
          <w:bCs/>
          <w:sz w:val="28"/>
          <w:szCs w:val="28"/>
        </w:rPr>
        <w:t xml:space="preserve"> </w:t>
      </w:r>
      <w:r w:rsidR="007035D9" w:rsidRPr="008559E7">
        <w:rPr>
          <w:b/>
          <w:bCs/>
          <w:sz w:val="28"/>
          <w:szCs w:val="28"/>
        </w:rPr>
        <w:t>Haven</w:t>
      </w:r>
    </w:p>
    <w:p w14:paraId="2C408212" w14:textId="792C6FA0" w:rsidR="00ED31E4" w:rsidRDefault="00ED31E4">
      <w:pPr>
        <w:rPr>
          <w:b/>
          <w:bCs/>
          <w:sz w:val="28"/>
          <w:szCs w:val="28"/>
        </w:rPr>
      </w:pPr>
    </w:p>
    <w:p w14:paraId="38C33EF1" w14:textId="684F7CEF" w:rsidR="00ED31E4" w:rsidRDefault="00ED31E4">
      <w:pPr>
        <w:rPr>
          <w:b/>
          <w:bCs/>
          <w:sz w:val="28"/>
          <w:szCs w:val="28"/>
        </w:rPr>
      </w:pPr>
      <w:r>
        <w:rPr>
          <w:b/>
          <w:bCs/>
          <w:sz w:val="28"/>
          <w:szCs w:val="28"/>
        </w:rPr>
        <w:t>Versie 1.0, gepubliceerd op de Haven website op 1</w:t>
      </w:r>
      <w:r w:rsidR="008477D5">
        <w:rPr>
          <w:b/>
          <w:bCs/>
          <w:sz w:val="28"/>
          <w:szCs w:val="28"/>
        </w:rPr>
        <w:t>8</w:t>
      </w:r>
      <w:r>
        <w:rPr>
          <w:b/>
          <w:bCs/>
          <w:sz w:val="28"/>
          <w:szCs w:val="28"/>
        </w:rPr>
        <w:t xml:space="preserve"> augustus 2022</w:t>
      </w:r>
    </w:p>
    <w:p w14:paraId="4C78C653" w14:textId="505D2E66" w:rsidR="007B45C2" w:rsidRDefault="007B45C2">
      <w:pPr>
        <w:rPr>
          <w:b/>
          <w:bCs/>
          <w:sz w:val="28"/>
          <w:szCs w:val="28"/>
        </w:rPr>
      </w:pPr>
    </w:p>
    <w:p w14:paraId="21C9ED80" w14:textId="6A24E734" w:rsidR="007B45C2" w:rsidRPr="007B45C2" w:rsidRDefault="007B45C2">
      <w:pPr>
        <w:rPr>
          <w:b/>
          <w:bCs/>
        </w:rPr>
      </w:pPr>
      <w:r w:rsidRPr="007B45C2">
        <w:rPr>
          <w:b/>
          <w:bCs/>
        </w:rPr>
        <w:t>Disclaimer</w:t>
      </w:r>
    </w:p>
    <w:p w14:paraId="167A9ED8" w14:textId="77777777" w:rsidR="00ED31E4" w:rsidRPr="008559E7" w:rsidRDefault="00ED31E4">
      <w:pPr>
        <w:rPr>
          <w:b/>
          <w:bCs/>
          <w:sz w:val="28"/>
          <w:szCs w:val="28"/>
        </w:rPr>
      </w:pPr>
    </w:p>
    <w:p w14:paraId="538909F6" w14:textId="401ECD11" w:rsidR="007035D9" w:rsidRDefault="00EB7A70">
      <w:r>
        <w:t>U kunt na de nodige aanpassingen te hebben gedaan</w:t>
      </w:r>
      <w:r w:rsidR="00DB5A98">
        <w:t xml:space="preserve"> </w:t>
      </w:r>
      <w:r>
        <w:t>dit document invoegen in een aanvraag evenals bijvoorbeeld algemene voorwaarden. Let op: er kunnen geen rechten worden ontleend aan deze handreiking. Het is van belang dat u inhoudelijk het document doorneemt en waar nodig aanpast.</w:t>
      </w:r>
    </w:p>
    <w:p w14:paraId="721178C1" w14:textId="77777777" w:rsidR="007B45C2" w:rsidRDefault="007B45C2"/>
    <w:p w14:paraId="58A7B69C" w14:textId="3264324E" w:rsidR="007035D9" w:rsidRPr="007035D9" w:rsidRDefault="007035D9">
      <w:pPr>
        <w:rPr>
          <w:b/>
          <w:bCs/>
        </w:rPr>
      </w:pPr>
      <w:r w:rsidRPr="007035D9">
        <w:rPr>
          <w:b/>
          <w:bCs/>
        </w:rPr>
        <w:t>In</w:t>
      </w:r>
      <w:r w:rsidR="002F39B7">
        <w:rPr>
          <w:b/>
          <w:bCs/>
        </w:rPr>
        <w:t>troductie</w:t>
      </w:r>
    </w:p>
    <w:p w14:paraId="138076C2" w14:textId="79201ED5" w:rsidR="007035D9" w:rsidRDefault="007035D9"/>
    <w:p w14:paraId="604BD39A" w14:textId="065EDEEA" w:rsidR="007035D9" w:rsidRDefault="007D0428">
      <w:r>
        <w:t>Gemeenten</w:t>
      </w:r>
      <w:r w:rsidR="007035D9">
        <w:t xml:space="preserve"> maken gebruik van verschillende </w:t>
      </w:r>
      <w:r w:rsidR="009F7D82">
        <w:t xml:space="preserve">soorten </w:t>
      </w:r>
      <w:r w:rsidR="007035D9">
        <w:t>platforms</w:t>
      </w:r>
      <w:r w:rsidR="009F7D82">
        <w:t xml:space="preserve"> waarop hun applicaties draaien. De werking van deze platforms is echter zodanig verschillend dat het nodig kan zijn een applicatie aan te passen voordat deze succesvol op het gewenste platform gebruikt kan worden. </w:t>
      </w:r>
      <w:r>
        <w:t xml:space="preserve">Dit is niet alleen kostbaar, tijdrovend en omslachtig, maar werkt ook belemmerend voor de gezamenlijke ontwikkeling en </w:t>
      </w:r>
      <w:r w:rsidR="002823EF">
        <w:t xml:space="preserve">het </w:t>
      </w:r>
      <w:r>
        <w:t>onderling hergebruik van applicaties door gemeenten.</w:t>
      </w:r>
    </w:p>
    <w:p w14:paraId="24C6506D" w14:textId="67082044" w:rsidR="00DA4A5D" w:rsidRDefault="00DA4A5D"/>
    <w:p w14:paraId="04EF40D6" w14:textId="64F92598" w:rsidR="00DC2B1B" w:rsidRDefault="00DA4A5D">
      <w:r>
        <w:t>Om hier een oplossing voor te bieden is</w:t>
      </w:r>
      <w:r w:rsidR="00DC2B1B">
        <w:t>,</w:t>
      </w:r>
      <w:r>
        <w:t xml:space="preserve"> </w:t>
      </w:r>
      <w:r w:rsidR="004E07CB">
        <w:t xml:space="preserve">als onderdeel van </w:t>
      </w:r>
      <w:r w:rsidR="00B9343B">
        <w:t>de door VNG Realisatie uitgevoerde</w:t>
      </w:r>
      <w:r w:rsidR="004E07CB">
        <w:t xml:space="preserve"> Common Ground</w:t>
      </w:r>
      <w:r w:rsidR="00B9343B">
        <w:t xml:space="preserve"> activiteiten,</w:t>
      </w:r>
      <w:r w:rsidR="004E07CB">
        <w:t xml:space="preserve"> Haven ontwikkeld</w:t>
      </w:r>
      <w:r w:rsidR="00FB796D">
        <w:t xml:space="preserve"> (zie </w:t>
      </w:r>
      <w:r w:rsidR="00F67AF6">
        <w:t xml:space="preserve">ook </w:t>
      </w:r>
      <w:r w:rsidR="00FB796D" w:rsidRPr="00FB796D">
        <w:t>https://haven.commonground.nl</w:t>
      </w:r>
      <w:r w:rsidR="00FB796D">
        <w:t>)</w:t>
      </w:r>
      <w:r w:rsidR="004E07CB">
        <w:t xml:space="preserve">. Haven </w:t>
      </w:r>
      <w:r w:rsidR="00FB796D">
        <w:t xml:space="preserve">kan worden geïnstalleerd op </w:t>
      </w:r>
      <w:r w:rsidR="00EE0DBE">
        <w:t>de meest gebruikte platforms</w:t>
      </w:r>
      <w:r w:rsidR="00FB796D">
        <w:t xml:space="preserve"> en vormt dan een nieuwe laag waarop applicaties kunnen worden geïnstalleerd. Een applicatie die op Haven geïnstalleerd kan worden, kan daarmee </w:t>
      </w:r>
      <w:r w:rsidR="00682257">
        <w:t>ook</w:t>
      </w:r>
      <w:r w:rsidR="00FB796D">
        <w:t xml:space="preserve"> worden geïnstalleerd op ieder </w:t>
      </w:r>
      <w:r w:rsidR="001118B2">
        <w:t xml:space="preserve">(ander) </w:t>
      </w:r>
      <w:r w:rsidR="00FB796D">
        <w:t>onderliggend platform waarop Haven is geïnstalleerd.</w:t>
      </w:r>
      <w:r w:rsidR="008342CA">
        <w:t xml:space="preserve"> </w:t>
      </w:r>
    </w:p>
    <w:p w14:paraId="7B07C0E7" w14:textId="4FDF0BF0" w:rsidR="00F67AF6" w:rsidRDefault="00F67AF6"/>
    <w:p w14:paraId="07936985" w14:textId="057998E6" w:rsidR="001132B8" w:rsidRDefault="00F67AF6">
      <w:r>
        <w:t xml:space="preserve">Voordat gemeenten echter gebruik kunnen maken van de voordelen van Haven, zal Haven moeten worden geïnstalleerd op </w:t>
      </w:r>
      <w:r w:rsidR="00A633DB">
        <w:t xml:space="preserve">in gebruik zijnde of nieuwe platforms, en vervolgens worden beheerd. </w:t>
      </w:r>
      <w:r w:rsidR="00AB0368">
        <w:t xml:space="preserve">In dit document wordt aan gemeenten die gebruik willen gaan maken van Haven een </w:t>
      </w:r>
      <w:r w:rsidR="001132B8">
        <w:t>suggestie gedaan</w:t>
      </w:r>
      <w:r w:rsidR="002A3A3D">
        <w:t xml:space="preserve"> van</w:t>
      </w:r>
      <w:r w:rsidR="00AB0368">
        <w:t xml:space="preserve"> eisen die </w:t>
      </w:r>
      <w:r w:rsidR="008857A4">
        <w:t>gesteld kunnen worden</w:t>
      </w:r>
      <w:r w:rsidR="002A3A3D">
        <w:t xml:space="preserve"> </w:t>
      </w:r>
      <w:r w:rsidR="001132B8">
        <w:t>aan een opdrachtnemer die Haven installeert en beheert</w:t>
      </w:r>
      <w:r w:rsidR="002A3A3D">
        <w:t xml:space="preserve">. Omdat de </w:t>
      </w:r>
      <w:r w:rsidR="00030635">
        <w:t>IT-infrastructur</w:t>
      </w:r>
      <w:r w:rsidR="001132B8">
        <w:t>en</w:t>
      </w:r>
      <w:r w:rsidR="002A3A3D">
        <w:t xml:space="preserve"> van gemeenten verschillend zijn en worden geleverd/ondersteund door verschillende partijen</w:t>
      </w:r>
      <w:r w:rsidR="00DD11B3">
        <w:t>,</w:t>
      </w:r>
      <w:r w:rsidR="002A3A3D">
        <w:t xml:space="preserve"> is het niet mogelijk één </w:t>
      </w:r>
      <w:r w:rsidR="000A5AA6">
        <w:t xml:space="preserve">universele </w:t>
      </w:r>
      <w:r w:rsidR="002A3A3D">
        <w:t>set eisen op te stellen</w:t>
      </w:r>
      <w:r w:rsidR="000A5AA6">
        <w:t xml:space="preserve"> die passend is voor iedere situatie</w:t>
      </w:r>
      <w:r w:rsidR="002A3A3D">
        <w:t>.</w:t>
      </w:r>
      <w:r w:rsidR="000A5AA6">
        <w:t xml:space="preserve"> G</w:t>
      </w:r>
      <w:r w:rsidR="001132B8">
        <w:t>ebruikers van dit document zullen daarom</w:t>
      </w:r>
      <w:r w:rsidR="000A5AA6">
        <w:t xml:space="preserve"> steeds kritisch moeten kijken welke eisen in hun situatie bruikbaar zijn en of de eisen inhoudelijk goed aansluiten bij eventuele andere afspraken die met leveranciers van aan Haven gerelateerde infrastructuur zijn gemaakt.</w:t>
      </w:r>
    </w:p>
    <w:p w14:paraId="6422AAD2" w14:textId="77777777" w:rsidR="00DC2B1B" w:rsidRDefault="00DC2B1B"/>
    <w:p w14:paraId="5FBE807B" w14:textId="0E897367" w:rsidR="007035D9" w:rsidRDefault="007035D9"/>
    <w:p w14:paraId="4A1CE82C" w14:textId="31067F0B" w:rsidR="00C70808" w:rsidRPr="00925B90" w:rsidRDefault="00301CE5" w:rsidP="00925B90">
      <w:pPr>
        <w:pStyle w:val="ListParagraph"/>
        <w:numPr>
          <w:ilvl w:val="0"/>
          <w:numId w:val="10"/>
        </w:numPr>
        <w:rPr>
          <w:b/>
          <w:bCs/>
        </w:rPr>
      </w:pPr>
      <w:r w:rsidRPr="00925B90">
        <w:rPr>
          <w:b/>
          <w:bCs/>
        </w:rPr>
        <w:t>Beveiligings</w:t>
      </w:r>
      <w:r w:rsidR="00C70808" w:rsidRPr="00925B90">
        <w:rPr>
          <w:b/>
          <w:bCs/>
        </w:rPr>
        <w:t>eisen</w:t>
      </w:r>
    </w:p>
    <w:tbl>
      <w:tblPr>
        <w:tblStyle w:val="TableGrid"/>
        <w:tblW w:w="0" w:type="auto"/>
        <w:tblLook w:val="04A0" w:firstRow="1" w:lastRow="0" w:firstColumn="1" w:lastColumn="0" w:noHBand="0" w:noVBand="1"/>
      </w:tblPr>
      <w:tblGrid>
        <w:gridCol w:w="562"/>
        <w:gridCol w:w="8364"/>
      </w:tblGrid>
      <w:tr w:rsidR="00BF1B0A" w14:paraId="2F8EE98C" w14:textId="77777777" w:rsidTr="009741C3">
        <w:trPr>
          <w:cantSplit/>
        </w:trPr>
        <w:tc>
          <w:tcPr>
            <w:tcW w:w="562" w:type="dxa"/>
          </w:tcPr>
          <w:p w14:paraId="0C0487ED" w14:textId="77777777" w:rsidR="00BF1B0A" w:rsidRPr="002A5A2B" w:rsidRDefault="00BF1B0A" w:rsidP="00011B15">
            <w:pPr>
              <w:rPr>
                <w:b/>
                <w:bCs/>
              </w:rPr>
            </w:pPr>
            <w:r w:rsidRPr="002A5A2B">
              <w:rPr>
                <w:b/>
                <w:bCs/>
              </w:rPr>
              <w:t>nr</w:t>
            </w:r>
          </w:p>
        </w:tc>
        <w:tc>
          <w:tcPr>
            <w:tcW w:w="8364" w:type="dxa"/>
          </w:tcPr>
          <w:p w14:paraId="24DF4D5D" w14:textId="77777777" w:rsidR="00BF1B0A" w:rsidRPr="002A5A2B" w:rsidRDefault="00BF1B0A" w:rsidP="00011B15">
            <w:pPr>
              <w:rPr>
                <w:b/>
                <w:bCs/>
              </w:rPr>
            </w:pPr>
            <w:r w:rsidRPr="002A5A2B">
              <w:rPr>
                <w:b/>
                <w:bCs/>
              </w:rPr>
              <w:t>Omschrijving</w:t>
            </w:r>
          </w:p>
        </w:tc>
      </w:tr>
      <w:tr w:rsidR="00BF1B0A" w14:paraId="6B77917B" w14:textId="77777777" w:rsidTr="009741C3">
        <w:trPr>
          <w:cantSplit/>
        </w:trPr>
        <w:tc>
          <w:tcPr>
            <w:tcW w:w="562" w:type="dxa"/>
          </w:tcPr>
          <w:p w14:paraId="18A27DAC" w14:textId="31E1C1DB" w:rsidR="00BF1B0A" w:rsidRDefault="00925B90" w:rsidP="00C70808">
            <w:r>
              <w:t>1-1</w:t>
            </w:r>
          </w:p>
        </w:tc>
        <w:tc>
          <w:tcPr>
            <w:tcW w:w="8364" w:type="dxa"/>
          </w:tcPr>
          <w:p w14:paraId="73FBF578" w14:textId="287CB6D3" w:rsidR="00BF1B0A" w:rsidRDefault="00BF1B0A" w:rsidP="00C70808">
            <w:r w:rsidRPr="004D727C">
              <w:t xml:space="preserve">De </w:t>
            </w:r>
            <w:r w:rsidR="001118B2">
              <w:t>o</w:t>
            </w:r>
            <w:r w:rsidRPr="004D727C">
              <w:t xml:space="preserve">pdrachtnemer dient te zijn gecertificeerd volgens de NEN-ISO/IEC 27001 norm voor informatiebeveiliging, of de </w:t>
            </w:r>
            <w:r w:rsidR="001118B2">
              <w:t>o</w:t>
            </w:r>
            <w:r w:rsidRPr="004D727C">
              <w:t>pdrachtnemer dient een gelijkwaardig, op de NEN-ISO/IEC 27001 norm gebaseerd managementsysteem voor informatieveiligheid te hebben geïmplementeerd.</w:t>
            </w:r>
          </w:p>
        </w:tc>
      </w:tr>
      <w:tr w:rsidR="00BF1B0A" w14:paraId="5999857D" w14:textId="77777777" w:rsidTr="009741C3">
        <w:trPr>
          <w:cantSplit/>
        </w:trPr>
        <w:tc>
          <w:tcPr>
            <w:tcW w:w="562" w:type="dxa"/>
          </w:tcPr>
          <w:p w14:paraId="6514F958" w14:textId="7D6472F8" w:rsidR="00BF1B0A" w:rsidRDefault="00925B90" w:rsidP="00C70808">
            <w:r>
              <w:lastRenderedPageBreak/>
              <w:t>1-2</w:t>
            </w:r>
          </w:p>
        </w:tc>
        <w:tc>
          <w:tcPr>
            <w:tcW w:w="8364" w:type="dxa"/>
          </w:tcPr>
          <w:p w14:paraId="70AE80E7" w14:textId="39CD980B" w:rsidR="00BF1B0A" w:rsidRDefault="00BF1B0A" w:rsidP="00C70808">
            <w:r w:rsidRPr="00C70808">
              <w:t xml:space="preserve">De </w:t>
            </w:r>
            <w:r w:rsidR="001118B2">
              <w:t>o</w:t>
            </w:r>
            <w:r w:rsidRPr="00C70808">
              <w:t>pdrachtnemer dient een actueel beveiligingsbeleid te hanteren dat is gebaseerd op de Code voor Informatiebeveiliging, NEN-ISO/IEC 27002.</w:t>
            </w:r>
          </w:p>
        </w:tc>
      </w:tr>
      <w:tr w:rsidR="00BF1B0A" w14:paraId="50495D77" w14:textId="77777777" w:rsidTr="009741C3">
        <w:trPr>
          <w:cantSplit/>
        </w:trPr>
        <w:tc>
          <w:tcPr>
            <w:tcW w:w="562" w:type="dxa"/>
          </w:tcPr>
          <w:p w14:paraId="71A2F322" w14:textId="78BCE373" w:rsidR="00BF1B0A" w:rsidRDefault="00925B90" w:rsidP="00C70808">
            <w:r>
              <w:t>1-3</w:t>
            </w:r>
          </w:p>
        </w:tc>
        <w:tc>
          <w:tcPr>
            <w:tcW w:w="8364" w:type="dxa"/>
          </w:tcPr>
          <w:p w14:paraId="135660AE" w14:textId="43F7894D" w:rsidR="00BF1B0A" w:rsidRDefault="00BF1B0A" w:rsidP="00073879">
            <w:r>
              <w:t xml:space="preserve">De </w:t>
            </w:r>
            <w:r w:rsidR="001118B2">
              <w:t>o</w:t>
            </w:r>
            <w:r>
              <w:t xml:space="preserve">pdrachtnemer staat ervoor in dat de </w:t>
            </w:r>
            <w:r w:rsidR="001118B2">
              <w:t>o</w:t>
            </w:r>
            <w:r>
              <w:t xml:space="preserve">pdrachtgever met de door </w:t>
            </w:r>
            <w:r w:rsidR="001118B2">
              <w:t>o</w:t>
            </w:r>
            <w:r>
              <w:t>pdrachtnemer geleverde dienstverlening kan voldoen aan de Baseline Informatiebeveiliging Overheid (BIO, op het moment van publicatie van dit document te vinden op https://www.informatiebeveiligingsdienst.nl/product/baseline-informatiebeveiliging-overheid-bio/), of de eventuele toekomstige opvolgers van de BIO. Uitgangspunt hierbij is dat de scope en reikwijdte van deze eventuele opvolgers van de BIO niet wezenlijk wijzigen en net als de BIO een afgeleide zullen zijn van NEN-ISO/IEC 27001 en 27002 standaarden.</w:t>
            </w:r>
          </w:p>
        </w:tc>
      </w:tr>
      <w:tr w:rsidR="00BF1B0A" w14:paraId="574825A6" w14:textId="77777777" w:rsidTr="009741C3">
        <w:trPr>
          <w:cantSplit/>
        </w:trPr>
        <w:tc>
          <w:tcPr>
            <w:tcW w:w="562" w:type="dxa"/>
          </w:tcPr>
          <w:p w14:paraId="29939059" w14:textId="3A5934EF" w:rsidR="00BF1B0A" w:rsidRDefault="00925B90" w:rsidP="00C70808">
            <w:r>
              <w:t>1-4</w:t>
            </w:r>
          </w:p>
        </w:tc>
        <w:tc>
          <w:tcPr>
            <w:tcW w:w="8364" w:type="dxa"/>
          </w:tcPr>
          <w:p w14:paraId="1D157250" w14:textId="2484362F" w:rsidR="00BF1B0A" w:rsidRDefault="00BF1B0A" w:rsidP="00C70808">
            <w:r>
              <w:t xml:space="preserve">Als de dienstverlening (gedeeltelijk) door de </w:t>
            </w:r>
            <w:r w:rsidR="001118B2">
              <w:t>o</w:t>
            </w:r>
            <w:r>
              <w:t xml:space="preserve">pdrachtnemer beheerd wordt (bijv. bij hosting), of het dienstverlening betreft die door de </w:t>
            </w:r>
            <w:r w:rsidR="001118B2">
              <w:t>o</w:t>
            </w:r>
            <w:r>
              <w:t xml:space="preserve">pdrachtnemer verricht wordt, staat de </w:t>
            </w:r>
            <w:r w:rsidR="001118B2">
              <w:t>o</w:t>
            </w:r>
            <w:r>
              <w:t>pdrachtnemer er (voor dat deel) voor in dat de dienstverlening voldoet aan de in de vorige eis bedoelde norm voor informatiebeveiliging (BIO).</w:t>
            </w:r>
          </w:p>
        </w:tc>
      </w:tr>
      <w:tr w:rsidR="00BF1B0A" w14:paraId="2FED700B" w14:textId="77777777" w:rsidTr="009741C3">
        <w:trPr>
          <w:cantSplit/>
        </w:trPr>
        <w:tc>
          <w:tcPr>
            <w:tcW w:w="562" w:type="dxa"/>
          </w:tcPr>
          <w:p w14:paraId="05D926F4" w14:textId="471B3616" w:rsidR="00BF1B0A" w:rsidRDefault="00925B90" w:rsidP="00073879">
            <w:r>
              <w:t>1-5</w:t>
            </w:r>
          </w:p>
        </w:tc>
        <w:tc>
          <w:tcPr>
            <w:tcW w:w="8364" w:type="dxa"/>
          </w:tcPr>
          <w:p w14:paraId="76B8035A" w14:textId="67E814C2" w:rsidR="00BF1B0A" w:rsidRDefault="00BF1B0A" w:rsidP="00073879">
            <w:r>
              <w:t xml:space="preserve">De </w:t>
            </w:r>
            <w:r w:rsidR="001118B2">
              <w:t>o</w:t>
            </w:r>
            <w:r>
              <w:t xml:space="preserve">pdrachtnemer legt ten minste een algemene beschrijving van de in de vorige eis bedoelde getroffen technische en organisatorische beveiligingsmaatregelen schriftelijk vast en geeft deze ter inzage aan de </w:t>
            </w:r>
            <w:r w:rsidR="001118B2">
              <w:t>o</w:t>
            </w:r>
            <w:r>
              <w:t>pdrachtgever.</w:t>
            </w:r>
          </w:p>
        </w:tc>
      </w:tr>
      <w:tr w:rsidR="00BF1B0A" w14:paraId="5EB326F9" w14:textId="77777777" w:rsidTr="009741C3">
        <w:trPr>
          <w:cantSplit/>
        </w:trPr>
        <w:tc>
          <w:tcPr>
            <w:tcW w:w="562" w:type="dxa"/>
          </w:tcPr>
          <w:p w14:paraId="7B5501C5" w14:textId="6069422D" w:rsidR="00BF1B0A" w:rsidRDefault="00925B90" w:rsidP="00073879">
            <w:r>
              <w:t>1-6</w:t>
            </w:r>
          </w:p>
        </w:tc>
        <w:tc>
          <w:tcPr>
            <w:tcW w:w="8364" w:type="dxa"/>
          </w:tcPr>
          <w:p w14:paraId="0731D4B0" w14:textId="5F7FAB42" w:rsidR="00BF1B0A" w:rsidRDefault="00BF1B0A" w:rsidP="00073879">
            <w:r w:rsidRPr="008C2EBD">
              <w:t xml:space="preserve">Als een specifieke beveiligingsmaatregel van de </w:t>
            </w:r>
            <w:r w:rsidR="001118B2">
              <w:t>o</w:t>
            </w:r>
            <w:r w:rsidRPr="008C2EBD">
              <w:t xml:space="preserve">pdrachtnemer voldoet aan de BIO (of de eventuele opvolger van de BIO) maar niet overeenkomt met een door de </w:t>
            </w:r>
            <w:r w:rsidR="001118B2">
              <w:t>o</w:t>
            </w:r>
            <w:r>
              <w:t>pdrachtgever</w:t>
            </w:r>
            <w:r w:rsidRPr="008C2EBD">
              <w:t xml:space="preserve"> voorgeschreven oplossing, dan dient de </w:t>
            </w:r>
            <w:r w:rsidR="001118B2">
              <w:t>o</w:t>
            </w:r>
            <w:r w:rsidRPr="008C2EBD">
              <w:t xml:space="preserve">pdrachtnemer deze maatregel op verzoek van de </w:t>
            </w:r>
            <w:r w:rsidR="001118B2">
              <w:t>o</w:t>
            </w:r>
            <w:r>
              <w:t>pdrachtgever</w:t>
            </w:r>
            <w:r w:rsidRPr="008C2EBD">
              <w:t xml:space="preserve"> aan te passen tenzij de </w:t>
            </w:r>
            <w:r w:rsidR="001118B2">
              <w:t>o</w:t>
            </w:r>
            <w:r w:rsidRPr="008C2EBD">
              <w:t xml:space="preserve">pdrachtnemer relevante, zwaarwegende argumenten heeft om de aanpassing niet door te voeren. </w:t>
            </w:r>
            <w:r>
              <w:t>Voor e</w:t>
            </w:r>
            <w:r w:rsidRPr="008C2EBD">
              <w:t xml:space="preserve">en dergelijke aanpassing op basis van een verzoek van </w:t>
            </w:r>
            <w:r>
              <w:t xml:space="preserve">de </w:t>
            </w:r>
            <w:r w:rsidR="001118B2">
              <w:t>o</w:t>
            </w:r>
            <w:r>
              <w:t>pdrachtgever</w:t>
            </w:r>
            <w:r w:rsidRPr="008C2EBD">
              <w:t xml:space="preserve"> </w:t>
            </w:r>
            <w:r>
              <w:t>kan</w:t>
            </w:r>
            <w:r w:rsidRPr="008C2EBD">
              <w:t xml:space="preserve"> de </w:t>
            </w:r>
            <w:r w:rsidR="001118B2">
              <w:t>o</w:t>
            </w:r>
            <w:r w:rsidRPr="008C2EBD">
              <w:t>pdrachtnemer, na het doorlopen van een offertetraject, kosten in rekening kan brengen.</w:t>
            </w:r>
          </w:p>
        </w:tc>
      </w:tr>
    </w:tbl>
    <w:p w14:paraId="6673F16B" w14:textId="77777777" w:rsidR="00C70808" w:rsidRDefault="00C70808"/>
    <w:p w14:paraId="50FCE00F" w14:textId="102C7B77" w:rsidR="002A5A2B" w:rsidRDefault="002A5A2B"/>
    <w:p w14:paraId="158939CF" w14:textId="1423ED3D" w:rsidR="002A5A2B" w:rsidRPr="008F2ACF" w:rsidRDefault="009B0F5F" w:rsidP="00925B90">
      <w:pPr>
        <w:pStyle w:val="ListParagraph"/>
        <w:numPr>
          <w:ilvl w:val="0"/>
          <w:numId w:val="10"/>
        </w:numPr>
        <w:rPr>
          <w:b/>
          <w:bCs/>
        </w:rPr>
      </w:pPr>
      <w:r>
        <w:rPr>
          <w:b/>
          <w:bCs/>
        </w:rPr>
        <w:t>Implementatie</w:t>
      </w:r>
    </w:p>
    <w:tbl>
      <w:tblPr>
        <w:tblStyle w:val="TableGrid"/>
        <w:tblW w:w="0" w:type="auto"/>
        <w:tblLook w:val="04A0" w:firstRow="1" w:lastRow="0" w:firstColumn="1" w:lastColumn="0" w:noHBand="0" w:noVBand="1"/>
      </w:tblPr>
      <w:tblGrid>
        <w:gridCol w:w="562"/>
        <w:gridCol w:w="8364"/>
      </w:tblGrid>
      <w:tr w:rsidR="00BF1B0A" w14:paraId="30F97650" w14:textId="77777777" w:rsidTr="009741C3">
        <w:trPr>
          <w:cantSplit/>
        </w:trPr>
        <w:tc>
          <w:tcPr>
            <w:tcW w:w="562" w:type="dxa"/>
          </w:tcPr>
          <w:p w14:paraId="2544489D" w14:textId="7CB3CCB3" w:rsidR="00BF1B0A" w:rsidRPr="002A5A2B" w:rsidRDefault="00BF1B0A">
            <w:pPr>
              <w:rPr>
                <w:b/>
                <w:bCs/>
              </w:rPr>
            </w:pPr>
            <w:r w:rsidRPr="002A5A2B">
              <w:rPr>
                <w:b/>
                <w:bCs/>
              </w:rPr>
              <w:t>nr</w:t>
            </w:r>
          </w:p>
        </w:tc>
        <w:tc>
          <w:tcPr>
            <w:tcW w:w="8364" w:type="dxa"/>
          </w:tcPr>
          <w:p w14:paraId="47A26848" w14:textId="60DF43A5" w:rsidR="00BF1B0A" w:rsidRPr="002A5A2B" w:rsidRDefault="00BF1B0A">
            <w:pPr>
              <w:rPr>
                <w:b/>
                <w:bCs/>
              </w:rPr>
            </w:pPr>
            <w:r w:rsidRPr="002A5A2B">
              <w:rPr>
                <w:b/>
                <w:bCs/>
              </w:rPr>
              <w:t>Omschrijving</w:t>
            </w:r>
          </w:p>
        </w:tc>
      </w:tr>
      <w:tr w:rsidR="00BF1B0A" w14:paraId="59F71889" w14:textId="77777777" w:rsidTr="009741C3">
        <w:trPr>
          <w:cantSplit/>
        </w:trPr>
        <w:tc>
          <w:tcPr>
            <w:tcW w:w="562" w:type="dxa"/>
          </w:tcPr>
          <w:p w14:paraId="20168DCC" w14:textId="5729850A" w:rsidR="00BF1B0A" w:rsidRDefault="00925B90">
            <w:r>
              <w:t>2-1</w:t>
            </w:r>
          </w:p>
        </w:tc>
        <w:tc>
          <w:tcPr>
            <w:tcW w:w="8364" w:type="dxa"/>
          </w:tcPr>
          <w:p w14:paraId="1C4A7EAA" w14:textId="757F42F9" w:rsidR="00BF1B0A" w:rsidRDefault="00BF1B0A">
            <w:r>
              <w:t xml:space="preserve">De </w:t>
            </w:r>
            <w:r w:rsidR="001118B2">
              <w:t>o</w:t>
            </w:r>
            <w:r>
              <w:t xml:space="preserve">pdrachtnemer heeft </w:t>
            </w:r>
            <w:r w:rsidR="00FF70D4">
              <w:t>kennisgenomen</w:t>
            </w:r>
            <w:r>
              <w:t xml:space="preserve"> van de informatie die over Haven beschikbaar is op </w:t>
            </w:r>
            <w:hyperlink r:id="rId5" w:history="1">
              <w:r w:rsidRPr="00855615">
                <w:rPr>
                  <w:rStyle w:val="Hyperlink"/>
                </w:rPr>
                <w:t>https://haven.commonground.nl</w:t>
              </w:r>
            </w:hyperlink>
            <w:r>
              <w:t xml:space="preserve"> en verklaart door het aannemen van de opdracht dat hij met deze informatie in staat is een Haven omgeving te installeren op het (de) in de opdracht aangegeven platform(s).</w:t>
            </w:r>
          </w:p>
        </w:tc>
      </w:tr>
      <w:tr w:rsidR="00BF1B0A" w14:paraId="3205E2EF" w14:textId="77777777" w:rsidTr="009741C3">
        <w:trPr>
          <w:cantSplit/>
        </w:trPr>
        <w:tc>
          <w:tcPr>
            <w:tcW w:w="562" w:type="dxa"/>
          </w:tcPr>
          <w:p w14:paraId="6D3C9FC5" w14:textId="0A84282D" w:rsidR="00BF1B0A" w:rsidRDefault="00925B90">
            <w:r>
              <w:t>2-2</w:t>
            </w:r>
          </w:p>
        </w:tc>
        <w:tc>
          <w:tcPr>
            <w:tcW w:w="8364" w:type="dxa"/>
          </w:tcPr>
          <w:p w14:paraId="49CA380F" w14:textId="517E2C03" w:rsidR="00BF1B0A" w:rsidRDefault="00BF1B0A">
            <w:r>
              <w:t xml:space="preserve">De </w:t>
            </w:r>
            <w:r w:rsidR="001118B2">
              <w:t>o</w:t>
            </w:r>
            <w:r>
              <w:t xml:space="preserve">pdrachtnemer implementeert Haven op het (de) door de </w:t>
            </w:r>
            <w:r w:rsidR="001118B2">
              <w:t>o</w:t>
            </w:r>
            <w:r>
              <w:t xml:space="preserve">pdrachtgever aangewezen platform(s), na door de </w:t>
            </w:r>
            <w:r w:rsidR="001118B2">
              <w:t>o</w:t>
            </w:r>
            <w:r>
              <w:t xml:space="preserve">pdrachtgever, voor zover nodig, te zijn voorzien van de hiervoor benodigde toegangsrechten. </w:t>
            </w:r>
          </w:p>
        </w:tc>
      </w:tr>
      <w:tr w:rsidR="00BF1B0A" w14:paraId="6DAA57E0" w14:textId="77777777" w:rsidTr="009741C3">
        <w:trPr>
          <w:cantSplit/>
        </w:trPr>
        <w:tc>
          <w:tcPr>
            <w:tcW w:w="562" w:type="dxa"/>
          </w:tcPr>
          <w:p w14:paraId="39F9FEC3" w14:textId="721E27E7" w:rsidR="00BF1B0A" w:rsidRDefault="00925B90">
            <w:r>
              <w:t>2-3</w:t>
            </w:r>
          </w:p>
        </w:tc>
        <w:tc>
          <w:tcPr>
            <w:tcW w:w="8364" w:type="dxa"/>
          </w:tcPr>
          <w:p w14:paraId="46AF5190" w14:textId="114332F0" w:rsidR="00BF1B0A" w:rsidRDefault="00BF1B0A">
            <w:r>
              <w:t xml:space="preserve">De </w:t>
            </w:r>
            <w:r w:rsidR="001118B2">
              <w:t>o</w:t>
            </w:r>
            <w:r>
              <w:t xml:space="preserve">pdrachtnemer toont met behulp van de </w:t>
            </w:r>
            <w:r w:rsidR="008E4F2E">
              <w:t>Haven Compliancy Checker</w:t>
            </w:r>
            <w:r>
              <w:t xml:space="preserve"> aan de </w:t>
            </w:r>
            <w:r w:rsidR="00071F4F">
              <w:t>o</w:t>
            </w:r>
            <w:r>
              <w:t xml:space="preserve">pdrachtgever aan dat de nieuw geïnstalleerde Haven omgeving voldoet aan de Haven standaard. </w:t>
            </w:r>
          </w:p>
        </w:tc>
      </w:tr>
    </w:tbl>
    <w:p w14:paraId="42414125" w14:textId="7C1AC824" w:rsidR="002A5A2B" w:rsidRDefault="002A5A2B"/>
    <w:p w14:paraId="6810A76E" w14:textId="77777777" w:rsidR="003A451A" w:rsidRDefault="003A451A"/>
    <w:p w14:paraId="2995D0BC" w14:textId="77777777" w:rsidR="008559E7" w:rsidRDefault="003A451A" w:rsidP="00925B90">
      <w:pPr>
        <w:pStyle w:val="ListParagraph"/>
        <w:numPr>
          <w:ilvl w:val="0"/>
          <w:numId w:val="10"/>
        </w:numPr>
        <w:rPr>
          <w:b/>
          <w:bCs/>
        </w:rPr>
      </w:pPr>
      <w:r w:rsidRPr="00FE1889">
        <w:rPr>
          <w:b/>
          <w:bCs/>
        </w:rPr>
        <w:t>Beheer</w:t>
      </w:r>
      <w:r>
        <w:rPr>
          <w:b/>
          <w:bCs/>
        </w:rPr>
        <w:t xml:space="preserve"> – technisch</w:t>
      </w:r>
      <w:r w:rsidR="001301B8">
        <w:rPr>
          <w:b/>
          <w:bCs/>
        </w:rPr>
        <w:t>/functioneel</w:t>
      </w:r>
      <w:r w:rsidR="00A652B7">
        <w:rPr>
          <w:b/>
          <w:bCs/>
        </w:rPr>
        <w:t xml:space="preserve"> </w:t>
      </w:r>
    </w:p>
    <w:p w14:paraId="4D937F50" w14:textId="7E94C870" w:rsidR="009303BB" w:rsidRPr="00925B90" w:rsidRDefault="00FB6F86" w:rsidP="003A451A">
      <w:pPr>
        <w:rPr>
          <w:i/>
          <w:iCs/>
        </w:rPr>
      </w:pPr>
      <w:r w:rsidRPr="00925B90">
        <w:rPr>
          <w:i/>
          <w:iCs/>
        </w:rPr>
        <w:t>De gebruiker van dit document kan indien gewenst zelf eisen toevoegen om integratie met andere door hem gebruikte systemen te borgen</w:t>
      </w:r>
      <w:r w:rsidR="00925B90" w:rsidRPr="00925B90">
        <w:rPr>
          <w:i/>
          <w:iCs/>
        </w:rPr>
        <w:t xml:space="preserve">. Denk hierbij </w:t>
      </w:r>
      <w:r w:rsidRPr="00925B90">
        <w:rPr>
          <w:i/>
          <w:iCs/>
        </w:rPr>
        <w:t xml:space="preserve">bijvoorbeeld </w:t>
      </w:r>
      <w:r w:rsidR="00925B90" w:rsidRPr="00925B90">
        <w:rPr>
          <w:i/>
          <w:iCs/>
        </w:rPr>
        <w:t xml:space="preserve">aan </w:t>
      </w:r>
      <w:r w:rsidRPr="00925B90">
        <w:rPr>
          <w:i/>
          <w:iCs/>
        </w:rPr>
        <w:t>integratie met een eigen Active Directory omgeving</w:t>
      </w:r>
      <w:r w:rsidR="00925B90" w:rsidRPr="00925B90">
        <w:rPr>
          <w:i/>
          <w:iCs/>
        </w:rPr>
        <w:t xml:space="preserve"> om via deze omgeving in de Haven omgeving in te loggen. De gebruiker dient zelf vast te stellen welke integratiemogelijkheden hij wenst en </w:t>
      </w:r>
      <w:r w:rsidR="00925B90" w:rsidRPr="00925B90">
        <w:rPr>
          <w:i/>
          <w:iCs/>
        </w:rPr>
        <w:lastRenderedPageBreak/>
        <w:t>eventueel af te stemmen met potentiële leveranciers of zij de gewenste integratie</w:t>
      </w:r>
      <w:r w:rsidR="002E717D">
        <w:rPr>
          <w:i/>
          <w:iCs/>
        </w:rPr>
        <w:t>mogelijkheden</w:t>
      </w:r>
      <w:r w:rsidR="00925B90" w:rsidRPr="00925B90">
        <w:rPr>
          <w:i/>
          <w:iCs/>
        </w:rPr>
        <w:t xml:space="preserve"> kunnen bieden.</w:t>
      </w:r>
    </w:p>
    <w:p w14:paraId="3E91CC95" w14:textId="4D75505E" w:rsidR="003A451A" w:rsidRPr="00FE1889" w:rsidRDefault="003A451A" w:rsidP="003A451A">
      <w:pPr>
        <w:rPr>
          <w:b/>
          <w:bCs/>
        </w:rPr>
      </w:pPr>
    </w:p>
    <w:tbl>
      <w:tblPr>
        <w:tblStyle w:val="TableGrid"/>
        <w:tblW w:w="0" w:type="auto"/>
        <w:tblLook w:val="04A0" w:firstRow="1" w:lastRow="0" w:firstColumn="1" w:lastColumn="0" w:noHBand="0" w:noVBand="1"/>
      </w:tblPr>
      <w:tblGrid>
        <w:gridCol w:w="562"/>
        <w:gridCol w:w="8364"/>
      </w:tblGrid>
      <w:tr w:rsidR="00BF1B0A" w14:paraId="5401B88A" w14:textId="77777777" w:rsidTr="009741C3">
        <w:trPr>
          <w:cantSplit/>
        </w:trPr>
        <w:tc>
          <w:tcPr>
            <w:tcW w:w="562" w:type="dxa"/>
          </w:tcPr>
          <w:p w14:paraId="7A624E29" w14:textId="77777777" w:rsidR="00BF1B0A" w:rsidRPr="002A5A2B" w:rsidRDefault="00BF1B0A" w:rsidP="006E34F7">
            <w:pPr>
              <w:rPr>
                <w:b/>
                <w:bCs/>
              </w:rPr>
            </w:pPr>
            <w:r w:rsidRPr="002A5A2B">
              <w:rPr>
                <w:b/>
                <w:bCs/>
              </w:rPr>
              <w:t>nr</w:t>
            </w:r>
          </w:p>
        </w:tc>
        <w:tc>
          <w:tcPr>
            <w:tcW w:w="8364" w:type="dxa"/>
          </w:tcPr>
          <w:p w14:paraId="285D7986" w14:textId="77777777" w:rsidR="00BF1B0A" w:rsidRPr="002A5A2B" w:rsidRDefault="00BF1B0A" w:rsidP="006E34F7">
            <w:pPr>
              <w:rPr>
                <w:b/>
                <w:bCs/>
              </w:rPr>
            </w:pPr>
            <w:r w:rsidRPr="002A5A2B">
              <w:rPr>
                <w:b/>
                <w:bCs/>
              </w:rPr>
              <w:t>Omschrijving</w:t>
            </w:r>
          </w:p>
        </w:tc>
      </w:tr>
      <w:tr w:rsidR="005D7B08" w14:paraId="1AF65AFD" w14:textId="77777777" w:rsidTr="009741C3">
        <w:trPr>
          <w:cantSplit/>
        </w:trPr>
        <w:tc>
          <w:tcPr>
            <w:tcW w:w="562" w:type="dxa"/>
          </w:tcPr>
          <w:p w14:paraId="5652F999" w14:textId="701C8607" w:rsidR="005D7B08" w:rsidRDefault="00925B90" w:rsidP="006E34F7">
            <w:r>
              <w:t>3-1</w:t>
            </w:r>
          </w:p>
        </w:tc>
        <w:tc>
          <w:tcPr>
            <w:tcW w:w="8364" w:type="dxa"/>
          </w:tcPr>
          <w:p w14:paraId="483E5958" w14:textId="6CF6C4FE" w:rsidR="005D7B08" w:rsidRDefault="005D7B08" w:rsidP="006E34F7">
            <w:r>
              <w:t>De opdrachtnemer hanteert een upgradestrategie waarmee wordt geborgd dat de opdrachtgever/gebruiker geen downtime ervaart.</w:t>
            </w:r>
          </w:p>
        </w:tc>
      </w:tr>
      <w:tr w:rsidR="007300CF" w14:paraId="3F200264" w14:textId="77777777" w:rsidTr="009741C3">
        <w:trPr>
          <w:cantSplit/>
        </w:trPr>
        <w:tc>
          <w:tcPr>
            <w:tcW w:w="562" w:type="dxa"/>
          </w:tcPr>
          <w:p w14:paraId="0CF5BF51" w14:textId="22393055" w:rsidR="007300CF" w:rsidRDefault="00925B90" w:rsidP="006E34F7">
            <w:r>
              <w:t>3-2</w:t>
            </w:r>
          </w:p>
        </w:tc>
        <w:tc>
          <w:tcPr>
            <w:tcW w:w="8364" w:type="dxa"/>
          </w:tcPr>
          <w:p w14:paraId="4AB93B2D" w14:textId="4814A272" w:rsidR="007300CF" w:rsidRDefault="007300CF" w:rsidP="006E34F7">
            <w:r>
              <w:t xml:space="preserve">De opdrachtnemer draagt zorg voor de aanwezigheid van een up-to-date geheel van </w:t>
            </w:r>
            <w:r w:rsidR="00FF70D4">
              <w:t>systemen/</w:t>
            </w:r>
            <w:r>
              <w:t xml:space="preserve">componenten waarmee professioneel beheer van de Haven omgeving kan worden uitgevoerd, waaronder </w:t>
            </w:r>
            <w:r w:rsidR="00FF70D4">
              <w:t xml:space="preserve">in ieder geval </w:t>
            </w:r>
            <w:r>
              <w:t>een logging oplossing.</w:t>
            </w:r>
          </w:p>
        </w:tc>
      </w:tr>
      <w:tr w:rsidR="00BF1B0A" w14:paraId="1342AE97" w14:textId="77777777" w:rsidTr="009741C3">
        <w:trPr>
          <w:cantSplit/>
        </w:trPr>
        <w:tc>
          <w:tcPr>
            <w:tcW w:w="562" w:type="dxa"/>
          </w:tcPr>
          <w:p w14:paraId="61116A9C" w14:textId="2B1E396C" w:rsidR="00BF1B0A" w:rsidRDefault="00925B90" w:rsidP="006E34F7">
            <w:r>
              <w:t>3-3</w:t>
            </w:r>
          </w:p>
        </w:tc>
        <w:tc>
          <w:tcPr>
            <w:tcW w:w="8364" w:type="dxa"/>
          </w:tcPr>
          <w:p w14:paraId="01E52AEA" w14:textId="7A0D22FC" w:rsidR="00BF1B0A" w:rsidRDefault="00BF1B0A" w:rsidP="006E34F7">
            <w:r>
              <w:t xml:space="preserve">De </w:t>
            </w:r>
            <w:r w:rsidR="001118B2">
              <w:t>o</w:t>
            </w:r>
            <w:r>
              <w:t xml:space="preserve">pdrachtnemer controleert iedere kalendermaand met behulp van de Haven Compliancy Checker of de door hem beheerde Haven omgeving nog voldoet aan de Haven standaard. </w:t>
            </w:r>
            <w:r w:rsidR="002120A7">
              <w:t xml:space="preserve">Het resultaat hiervan wordt binnen een dag </w:t>
            </w:r>
            <w:r w:rsidR="00FF70D4">
              <w:t xml:space="preserve">na uitvoering van de check </w:t>
            </w:r>
            <w:r w:rsidR="002120A7">
              <w:t>gerapporteerd aan de opdrachtgever.</w:t>
            </w:r>
          </w:p>
        </w:tc>
      </w:tr>
      <w:tr w:rsidR="00BF1B0A" w14:paraId="6640C8B0" w14:textId="77777777" w:rsidTr="009741C3">
        <w:trPr>
          <w:cantSplit/>
        </w:trPr>
        <w:tc>
          <w:tcPr>
            <w:tcW w:w="562" w:type="dxa"/>
          </w:tcPr>
          <w:p w14:paraId="4EB6CA3E" w14:textId="1F6D9A33" w:rsidR="00BF1B0A" w:rsidRDefault="00925B90" w:rsidP="006E34F7">
            <w:r>
              <w:t>3-4</w:t>
            </w:r>
          </w:p>
        </w:tc>
        <w:tc>
          <w:tcPr>
            <w:tcW w:w="8364" w:type="dxa"/>
          </w:tcPr>
          <w:p w14:paraId="55798264" w14:textId="4C7146E6" w:rsidR="00BF1B0A" w:rsidRDefault="00BF1B0A" w:rsidP="006E34F7">
            <w:r>
              <w:t xml:space="preserve">Als uit </w:t>
            </w:r>
            <w:r w:rsidR="0033546F">
              <w:t>de</w:t>
            </w:r>
            <w:r>
              <w:t xml:space="preserve"> Haven Compliancy Check</w:t>
            </w:r>
            <w:r w:rsidR="0033546F">
              <w:t>er</w:t>
            </w:r>
            <w:r>
              <w:t xml:space="preserve"> blijkt dat niet (meer) wordt voldaan aan de Haven standaard dan meldt de </w:t>
            </w:r>
            <w:r w:rsidR="001118B2">
              <w:t>o</w:t>
            </w:r>
            <w:r>
              <w:t xml:space="preserve">pdrachtnemer dit direct na constatering aan de </w:t>
            </w:r>
            <w:r w:rsidR="001118B2">
              <w:t>o</w:t>
            </w:r>
            <w:r>
              <w:t xml:space="preserve">pdrachtgever. De </w:t>
            </w:r>
            <w:r w:rsidR="001118B2">
              <w:t>o</w:t>
            </w:r>
            <w:r>
              <w:t xml:space="preserve">pdrachtnemer zorgt er daarnaast voor dat de Haven omgeving </w:t>
            </w:r>
            <w:r w:rsidR="002120A7">
              <w:t xml:space="preserve">binnen drie kalendermaanden </w:t>
            </w:r>
            <w:r>
              <w:t xml:space="preserve">alsnog/weer aan de Haven standaard voldoet. </w:t>
            </w:r>
          </w:p>
        </w:tc>
      </w:tr>
      <w:tr w:rsidR="00BF1B0A" w14:paraId="3D48FD26" w14:textId="77777777" w:rsidTr="009741C3">
        <w:trPr>
          <w:cantSplit/>
        </w:trPr>
        <w:tc>
          <w:tcPr>
            <w:tcW w:w="562" w:type="dxa"/>
          </w:tcPr>
          <w:p w14:paraId="00308D1C" w14:textId="627F1EBC" w:rsidR="00BF1B0A" w:rsidRDefault="00925B90" w:rsidP="006E34F7">
            <w:r>
              <w:t>3-5</w:t>
            </w:r>
          </w:p>
        </w:tc>
        <w:tc>
          <w:tcPr>
            <w:tcW w:w="8364" w:type="dxa"/>
          </w:tcPr>
          <w:p w14:paraId="61A20BC4" w14:textId="3654DED2" w:rsidR="00BF1B0A" w:rsidRDefault="00BF1B0A" w:rsidP="006E34F7">
            <w:r>
              <w:t xml:space="preserve">De </w:t>
            </w:r>
            <w:r w:rsidR="001118B2">
              <w:t>o</w:t>
            </w:r>
            <w:r>
              <w:t xml:space="preserve">pdrachtnemer dient ervoor te zorgen dat een major release van Haven binnen uiterlijk drie kalendermaanden is </w:t>
            </w:r>
            <w:r w:rsidR="003245A5">
              <w:t xml:space="preserve">doorgevoerd </w:t>
            </w:r>
            <w:r>
              <w:t>op de door hem beheerde Haven omgeving.</w:t>
            </w:r>
          </w:p>
        </w:tc>
      </w:tr>
      <w:tr w:rsidR="00BF1B0A" w14:paraId="3BE040CA" w14:textId="77777777" w:rsidTr="009741C3">
        <w:trPr>
          <w:cantSplit/>
        </w:trPr>
        <w:tc>
          <w:tcPr>
            <w:tcW w:w="562" w:type="dxa"/>
          </w:tcPr>
          <w:p w14:paraId="180D8DF4" w14:textId="48606287" w:rsidR="00BF1B0A" w:rsidRDefault="00925B90" w:rsidP="006E34F7">
            <w:r>
              <w:t>3-6</w:t>
            </w:r>
          </w:p>
        </w:tc>
        <w:tc>
          <w:tcPr>
            <w:tcW w:w="8364" w:type="dxa"/>
          </w:tcPr>
          <w:p w14:paraId="5B0B9A56" w14:textId="732D5612" w:rsidR="00BF1B0A" w:rsidRDefault="00BF1B0A" w:rsidP="006E34F7">
            <w:r>
              <w:t xml:space="preserve">De </w:t>
            </w:r>
            <w:r w:rsidR="001118B2">
              <w:t>o</w:t>
            </w:r>
            <w:r>
              <w:t xml:space="preserve">pdrachtnemer dient ervoor te zorgen dat een patch of minor release van Haven binnen uiterlijk </w:t>
            </w:r>
            <w:r w:rsidR="00CD2786">
              <w:t xml:space="preserve">één </w:t>
            </w:r>
            <w:r>
              <w:t xml:space="preserve">kalendermaand is </w:t>
            </w:r>
            <w:r w:rsidR="00CD2786">
              <w:t xml:space="preserve">doorgevoerd </w:t>
            </w:r>
            <w:r>
              <w:t>op de door hem beheerde Haven omgeving.</w:t>
            </w:r>
          </w:p>
        </w:tc>
      </w:tr>
      <w:tr w:rsidR="00BF1B0A" w14:paraId="4B72E34D" w14:textId="77777777" w:rsidTr="009741C3">
        <w:trPr>
          <w:cantSplit/>
        </w:trPr>
        <w:tc>
          <w:tcPr>
            <w:tcW w:w="562" w:type="dxa"/>
          </w:tcPr>
          <w:p w14:paraId="6EDE51E3" w14:textId="22336D0D" w:rsidR="00BF1B0A" w:rsidRDefault="00925B90" w:rsidP="006E34F7">
            <w:r>
              <w:t>3-7</w:t>
            </w:r>
          </w:p>
        </w:tc>
        <w:tc>
          <w:tcPr>
            <w:tcW w:w="8364" w:type="dxa"/>
          </w:tcPr>
          <w:p w14:paraId="61F8757D" w14:textId="23A88406" w:rsidR="00BF1B0A" w:rsidRDefault="00BF1B0A" w:rsidP="006E34F7">
            <w:r>
              <w:t xml:space="preserve">De </w:t>
            </w:r>
            <w:r w:rsidR="001118B2">
              <w:t>o</w:t>
            </w:r>
            <w:r>
              <w:t xml:space="preserve">pdrachtnemer verschaft op verzoek van de </w:t>
            </w:r>
            <w:r w:rsidR="001118B2">
              <w:t>o</w:t>
            </w:r>
            <w:r>
              <w:t xml:space="preserve">pdrachtgever aan een leverancier van een applicatie alle toegangsrechten die nodig zijn om de betreffende applicatie te kunnen installeren en beheren op de door de </w:t>
            </w:r>
            <w:r w:rsidR="001118B2">
              <w:t>o</w:t>
            </w:r>
            <w:r>
              <w:t>pdrachtnemer beheerde Haven omgeving.</w:t>
            </w:r>
          </w:p>
        </w:tc>
      </w:tr>
      <w:tr w:rsidR="00BF1B0A" w14:paraId="165440B8" w14:textId="77777777" w:rsidTr="009741C3">
        <w:trPr>
          <w:cantSplit/>
        </w:trPr>
        <w:tc>
          <w:tcPr>
            <w:tcW w:w="562" w:type="dxa"/>
          </w:tcPr>
          <w:p w14:paraId="0136DFB7" w14:textId="5FD9D78B" w:rsidR="00BF1B0A" w:rsidRDefault="00925B90" w:rsidP="006E34F7">
            <w:r>
              <w:t>3-8</w:t>
            </w:r>
          </w:p>
        </w:tc>
        <w:tc>
          <w:tcPr>
            <w:tcW w:w="8364" w:type="dxa"/>
          </w:tcPr>
          <w:p w14:paraId="313118B1" w14:textId="4B7E13C0" w:rsidR="00BF1B0A" w:rsidRDefault="00BF1B0A" w:rsidP="006E34F7">
            <w:r>
              <w:t xml:space="preserve">De </w:t>
            </w:r>
            <w:r w:rsidR="001118B2">
              <w:t>o</w:t>
            </w:r>
            <w:r>
              <w:t xml:space="preserve">pdrachtnemer verschaft op verzoek van de </w:t>
            </w:r>
            <w:r w:rsidR="001118B2">
              <w:t>o</w:t>
            </w:r>
            <w:r>
              <w:t xml:space="preserve">pdrachtgever aan een auditor alle toegangsrechten die nodig zijn voor het uitvoeren van een audit op de door de </w:t>
            </w:r>
            <w:r w:rsidR="001118B2">
              <w:t>o</w:t>
            </w:r>
            <w:r>
              <w:t>pdrachtnemer beheerde Haven omgeving.</w:t>
            </w:r>
          </w:p>
        </w:tc>
      </w:tr>
    </w:tbl>
    <w:p w14:paraId="0B600032" w14:textId="432EE4AF" w:rsidR="00983B63" w:rsidRDefault="00983B63"/>
    <w:p w14:paraId="7907EAB5" w14:textId="77777777" w:rsidR="00925B90" w:rsidRDefault="00925B90"/>
    <w:p w14:paraId="67FF3729" w14:textId="77F0523E" w:rsidR="008C2EBD" w:rsidRPr="008C2EBD" w:rsidRDefault="008C2EBD" w:rsidP="00925B90">
      <w:pPr>
        <w:pStyle w:val="ListParagraph"/>
        <w:numPr>
          <w:ilvl w:val="0"/>
          <w:numId w:val="10"/>
        </w:numPr>
        <w:rPr>
          <w:b/>
          <w:bCs/>
        </w:rPr>
      </w:pPr>
      <w:r w:rsidRPr="008C2EBD">
        <w:rPr>
          <w:b/>
          <w:bCs/>
        </w:rPr>
        <w:t>Beheer - Incidentafhandeling</w:t>
      </w:r>
    </w:p>
    <w:tbl>
      <w:tblPr>
        <w:tblStyle w:val="TableGrid"/>
        <w:tblW w:w="0" w:type="auto"/>
        <w:tblLook w:val="04A0" w:firstRow="1" w:lastRow="0" w:firstColumn="1" w:lastColumn="0" w:noHBand="0" w:noVBand="1"/>
      </w:tblPr>
      <w:tblGrid>
        <w:gridCol w:w="562"/>
        <w:gridCol w:w="8364"/>
      </w:tblGrid>
      <w:tr w:rsidR="00BF1B0A" w14:paraId="487F44AE" w14:textId="77777777" w:rsidTr="009741C3">
        <w:trPr>
          <w:cantSplit/>
        </w:trPr>
        <w:tc>
          <w:tcPr>
            <w:tcW w:w="562" w:type="dxa"/>
          </w:tcPr>
          <w:p w14:paraId="7E6DD666" w14:textId="25A11956" w:rsidR="00BF1B0A" w:rsidRDefault="00925B90" w:rsidP="00CC3D23">
            <w:r>
              <w:t>4-1</w:t>
            </w:r>
          </w:p>
        </w:tc>
        <w:tc>
          <w:tcPr>
            <w:tcW w:w="8364" w:type="dxa"/>
          </w:tcPr>
          <w:p w14:paraId="56C6F4AC" w14:textId="09B8E383" w:rsidR="00BF1B0A" w:rsidRDefault="00BF1B0A" w:rsidP="00CC3D23">
            <w:r w:rsidRPr="000F4D57">
              <w:t xml:space="preserve">De </w:t>
            </w:r>
            <w:r w:rsidR="001118B2">
              <w:t>o</w:t>
            </w:r>
            <w:r w:rsidRPr="000F4D57">
              <w:t xml:space="preserve">pdrachtnemer dient een incidentdesk te hebben. De incidentdesk is een centraal punt bij de </w:t>
            </w:r>
            <w:r w:rsidR="001118B2">
              <w:t>o</w:t>
            </w:r>
            <w:r w:rsidRPr="000F4D57">
              <w:t xml:space="preserve">pdrachtnemer voor het aanmelden en afmelden van alle incidenten betreffende alle producten en diensten die de </w:t>
            </w:r>
            <w:r w:rsidR="001118B2">
              <w:t>o</w:t>
            </w:r>
            <w:r w:rsidRPr="000F4D57">
              <w:t xml:space="preserve">pdrachtnemer levert. De incidentdesk verschaft tevens statusinformatie over de aangemelde incidenten. </w:t>
            </w:r>
          </w:p>
        </w:tc>
      </w:tr>
      <w:tr w:rsidR="00BF1B0A" w14:paraId="44BE7A4B" w14:textId="77777777" w:rsidTr="009741C3">
        <w:trPr>
          <w:cantSplit/>
        </w:trPr>
        <w:tc>
          <w:tcPr>
            <w:tcW w:w="562" w:type="dxa"/>
          </w:tcPr>
          <w:p w14:paraId="557AA77E" w14:textId="50837721" w:rsidR="00BF1B0A" w:rsidRDefault="00925B90" w:rsidP="00CC3D23">
            <w:r>
              <w:t>4-2</w:t>
            </w:r>
          </w:p>
        </w:tc>
        <w:tc>
          <w:tcPr>
            <w:tcW w:w="8364" w:type="dxa"/>
          </w:tcPr>
          <w:p w14:paraId="5D787645" w14:textId="0E4DACD3" w:rsidR="00BF1B0A" w:rsidRDefault="00BF1B0A" w:rsidP="00CC3D23">
            <w:r w:rsidRPr="000F4D57">
              <w:t>De incidentdesk dient via verschillende communicatiemiddelen (minimaal: telefoon, e-mail en online) bereikbaar te zijn.</w:t>
            </w:r>
          </w:p>
        </w:tc>
      </w:tr>
      <w:tr w:rsidR="00BF1B0A" w14:paraId="285653E2" w14:textId="77777777" w:rsidTr="009741C3">
        <w:trPr>
          <w:cantSplit/>
        </w:trPr>
        <w:tc>
          <w:tcPr>
            <w:tcW w:w="562" w:type="dxa"/>
          </w:tcPr>
          <w:p w14:paraId="5CFE9CEB" w14:textId="5355C232" w:rsidR="00BF1B0A" w:rsidRDefault="00925B90" w:rsidP="00CC3D23">
            <w:r>
              <w:t>4-3</w:t>
            </w:r>
          </w:p>
        </w:tc>
        <w:tc>
          <w:tcPr>
            <w:tcW w:w="8364" w:type="dxa"/>
          </w:tcPr>
          <w:p w14:paraId="2ED6BABD" w14:textId="1AF22600" w:rsidR="00BF1B0A" w:rsidRPr="00270F62" w:rsidRDefault="00BF1B0A" w:rsidP="00CC3D23">
            <w:r>
              <w:t xml:space="preserve">De </w:t>
            </w:r>
            <w:r w:rsidR="001118B2">
              <w:t>o</w:t>
            </w:r>
            <w:r>
              <w:t xml:space="preserve">pdrachtgever en door de </w:t>
            </w:r>
            <w:r w:rsidR="001118B2">
              <w:t>o</w:t>
            </w:r>
            <w:r>
              <w:t xml:space="preserve">pdrachtgever </w:t>
            </w:r>
            <w:r w:rsidRPr="000F4D57">
              <w:t>geautoriseerde contactpersonen dienen 7 dagen per week, 24 uur per dag in contact te kunnen treden met de incidentdesk.</w:t>
            </w:r>
          </w:p>
        </w:tc>
      </w:tr>
      <w:tr w:rsidR="00BF1B0A" w14:paraId="0E0F1E45" w14:textId="77777777" w:rsidTr="009741C3">
        <w:trPr>
          <w:cantSplit/>
        </w:trPr>
        <w:tc>
          <w:tcPr>
            <w:tcW w:w="562" w:type="dxa"/>
          </w:tcPr>
          <w:p w14:paraId="5A665F31" w14:textId="0E2D27ED" w:rsidR="00BF1B0A" w:rsidRDefault="00925B90" w:rsidP="00CC3D23">
            <w:r>
              <w:t>4-4</w:t>
            </w:r>
          </w:p>
        </w:tc>
        <w:tc>
          <w:tcPr>
            <w:tcW w:w="8364" w:type="dxa"/>
          </w:tcPr>
          <w:p w14:paraId="245ED3BD" w14:textId="6EA91C56" w:rsidR="00BF1B0A" w:rsidRDefault="00BF1B0A" w:rsidP="00CC3D23">
            <w:r w:rsidRPr="00270F62">
              <w:t xml:space="preserve">Bij telefonisch contact vanuit Nederland dient de </w:t>
            </w:r>
            <w:r>
              <w:t>incident</w:t>
            </w:r>
            <w:r w:rsidRPr="00270F62">
              <w:t>desk gratis of tegen het reguliere tarief voor bellen binnen Nederland bereikbaar te zijn (geen internationale nummers, geen betaalde servicenummers).</w:t>
            </w:r>
          </w:p>
        </w:tc>
      </w:tr>
      <w:tr w:rsidR="00BF1B0A" w14:paraId="18890E95" w14:textId="77777777" w:rsidTr="009741C3">
        <w:trPr>
          <w:cantSplit/>
        </w:trPr>
        <w:tc>
          <w:tcPr>
            <w:tcW w:w="562" w:type="dxa"/>
          </w:tcPr>
          <w:p w14:paraId="190F30F0" w14:textId="00FE5664" w:rsidR="00BF1B0A" w:rsidRDefault="00925B90" w:rsidP="00CC3D23">
            <w:r>
              <w:lastRenderedPageBreak/>
              <w:t>4-5</w:t>
            </w:r>
          </w:p>
        </w:tc>
        <w:tc>
          <w:tcPr>
            <w:tcW w:w="8364" w:type="dxa"/>
          </w:tcPr>
          <w:p w14:paraId="76D52DB1" w14:textId="72801B14" w:rsidR="00BF1B0A" w:rsidRDefault="00BF1B0A" w:rsidP="00CC3D23">
            <w:r>
              <w:t xml:space="preserve">De </w:t>
            </w:r>
            <w:r w:rsidR="001118B2">
              <w:t>o</w:t>
            </w:r>
            <w:r>
              <w:t xml:space="preserve">pdrachtnemer dient ieder aangemeld incident in behandeling te nemen, ook als het incident (mogelijk) betrekking heeft op het </w:t>
            </w:r>
            <w:r w:rsidR="002562BA">
              <w:t xml:space="preserve">onderliggende </w:t>
            </w:r>
            <w:r>
              <w:t xml:space="preserve">platform waar Haven op draait of betrekking heeft op een applicatie die op Haven draait. </w:t>
            </w:r>
          </w:p>
        </w:tc>
      </w:tr>
      <w:tr w:rsidR="00BF1B0A" w14:paraId="6081BA48" w14:textId="77777777" w:rsidTr="009741C3">
        <w:trPr>
          <w:cantSplit/>
        </w:trPr>
        <w:tc>
          <w:tcPr>
            <w:tcW w:w="562" w:type="dxa"/>
          </w:tcPr>
          <w:p w14:paraId="5D01247F" w14:textId="0BD3997F" w:rsidR="00BF1B0A" w:rsidRDefault="00925B90" w:rsidP="00CC3D23">
            <w:r>
              <w:t>4-6</w:t>
            </w:r>
          </w:p>
        </w:tc>
        <w:tc>
          <w:tcPr>
            <w:tcW w:w="8364" w:type="dxa"/>
          </w:tcPr>
          <w:p w14:paraId="0FE20916" w14:textId="0C8730AB" w:rsidR="00BF1B0A" w:rsidRDefault="00BF1B0A" w:rsidP="00CC3D23">
            <w:r>
              <w:t xml:space="preserve">Als de </w:t>
            </w:r>
            <w:r w:rsidR="001118B2">
              <w:t>o</w:t>
            </w:r>
            <w:r>
              <w:t xml:space="preserve">pdrachtnemer concludeert dat het aangemelde incident niet door de door hem beheerde Haven omgeving wordt veroorzaakt, maar wordt veroorzaakt door andere door hem beheerde infrastructuur (bijvoorbeeld het onderliggende platform of een op Haven draaiende applicatie), dan wordt het incident beschouwd als direct op de juiste manier te zijn aangemeld en dient de </w:t>
            </w:r>
            <w:r w:rsidR="001118B2">
              <w:t>o</w:t>
            </w:r>
            <w:r>
              <w:t>pdrachtnemer het incident op te lossen binnen dezelfde kaders die gelden voor het rechtstreeks aanmelden van incidenten bij de betreffende andere infrastructuur.</w:t>
            </w:r>
          </w:p>
        </w:tc>
      </w:tr>
      <w:tr w:rsidR="00BF1B0A" w14:paraId="3605041C" w14:textId="77777777" w:rsidTr="009741C3">
        <w:trPr>
          <w:cantSplit/>
        </w:trPr>
        <w:tc>
          <w:tcPr>
            <w:tcW w:w="562" w:type="dxa"/>
          </w:tcPr>
          <w:p w14:paraId="59A2BF69" w14:textId="028BBFEC" w:rsidR="00BF1B0A" w:rsidRDefault="00925B90" w:rsidP="009F2D53">
            <w:r>
              <w:t>4-7</w:t>
            </w:r>
          </w:p>
        </w:tc>
        <w:tc>
          <w:tcPr>
            <w:tcW w:w="8364" w:type="dxa"/>
          </w:tcPr>
          <w:p w14:paraId="5395FAC8" w14:textId="7E97831D" w:rsidR="00BF1B0A" w:rsidRDefault="00BF1B0A" w:rsidP="009F2D53">
            <w:r>
              <w:t xml:space="preserve">Als de </w:t>
            </w:r>
            <w:r w:rsidR="001118B2">
              <w:t>o</w:t>
            </w:r>
            <w:r>
              <w:t xml:space="preserve">pdrachtnemer ervan overtuigd is dat het aangemelde incident niet wordt veroorzaakt door de door hem beheerde Haven omgeving, maar door infrastructuur (bijvoorbeeld het onderliggende platform of een op Haven draaiende applicatie) die niet door de </w:t>
            </w:r>
            <w:r w:rsidR="001118B2">
              <w:t>o</w:t>
            </w:r>
            <w:r>
              <w:t xml:space="preserve">pdrachtnemer wordt beheerd, dan dient de </w:t>
            </w:r>
            <w:r w:rsidR="001118B2">
              <w:t>o</w:t>
            </w:r>
            <w:r>
              <w:t xml:space="preserve">pdrachtnemer de aanmelder van het incident hiervan op de hoogte te brengen. De </w:t>
            </w:r>
            <w:r w:rsidR="001118B2">
              <w:t>o</w:t>
            </w:r>
            <w:r>
              <w:t>pdrachtnemer dient bij terugmelding onderbouwd aan te geven op welke infrastructuur het incident wel betrekking heeft.</w:t>
            </w:r>
          </w:p>
        </w:tc>
      </w:tr>
      <w:tr w:rsidR="00BF1B0A" w14:paraId="793E8A80" w14:textId="77777777" w:rsidTr="009741C3">
        <w:trPr>
          <w:cantSplit/>
        </w:trPr>
        <w:tc>
          <w:tcPr>
            <w:tcW w:w="562" w:type="dxa"/>
          </w:tcPr>
          <w:p w14:paraId="64A5FC6E" w14:textId="25AB0D10" w:rsidR="00BF1B0A" w:rsidRDefault="00925B90" w:rsidP="009F2D53">
            <w:r>
              <w:t>4-8</w:t>
            </w:r>
          </w:p>
        </w:tc>
        <w:tc>
          <w:tcPr>
            <w:tcW w:w="8364" w:type="dxa"/>
          </w:tcPr>
          <w:p w14:paraId="4ED1FE1F" w14:textId="02A610CA" w:rsidR="00BF1B0A" w:rsidRDefault="00BF1B0A" w:rsidP="009F2D53">
            <w:r>
              <w:t xml:space="preserve">De </w:t>
            </w:r>
            <w:r w:rsidR="001118B2">
              <w:t>o</w:t>
            </w:r>
            <w:r>
              <w:t xml:space="preserve">pdrachtnemer dient bij hem aangemelde incidenten die geen betrekking hebben op door hem beheerde infrastructuur op verzoek van de </w:t>
            </w:r>
            <w:r w:rsidR="001118B2">
              <w:t>o</w:t>
            </w:r>
            <w:r>
              <w:t xml:space="preserve">pdrachtgever aan te melden bij de beheerder van de infrastructuur waar het incident wel betrekking op heeft. De </w:t>
            </w:r>
            <w:r w:rsidR="001118B2">
              <w:t>o</w:t>
            </w:r>
            <w:r>
              <w:t>pdrachtgever verstrekt hiertoe de contactgegevens van de beheerder van de bedoelde andere infrastructuur.</w:t>
            </w:r>
          </w:p>
        </w:tc>
      </w:tr>
      <w:tr w:rsidR="00BF1B0A" w14:paraId="053396AA" w14:textId="77777777" w:rsidTr="009741C3">
        <w:trPr>
          <w:cantSplit/>
        </w:trPr>
        <w:tc>
          <w:tcPr>
            <w:tcW w:w="562" w:type="dxa"/>
          </w:tcPr>
          <w:p w14:paraId="2A7D134E" w14:textId="62EAA112" w:rsidR="00BF1B0A" w:rsidRDefault="00925B90" w:rsidP="009F2D53">
            <w:r>
              <w:t>4-9</w:t>
            </w:r>
          </w:p>
        </w:tc>
        <w:tc>
          <w:tcPr>
            <w:tcW w:w="8364" w:type="dxa"/>
          </w:tcPr>
          <w:p w14:paraId="1B5A5574" w14:textId="56D7F8EA" w:rsidR="00BF1B0A" w:rsidRDefault="00BF1B0A" w:rsidP="009F2D53">
            <w:r>
              <w:t xml:space="preserve">Als de </w:t>
            </w:r>
            <w:r w:rsidR="001118B2">
              <w:t>o</w:t>
            </w:r>
            <w:r>
              <w:t xml:space="preserve">pdrachtnemer onterecht heeft aangegeven dat een bij hem aangemeld incident geen betrekking heeft op door hem beheerde infrastructuur, dan wordt het incident opnieuw bij de </w:t>
            </w:r>
            <w:r w:rsidR="001118B2">
              <w:t>o</w:t>
            </w:r>
            <w:r>
              <w:t>pdrachtnemer aangemeld. Het moment waarop het incident initieel is aangemeld (dus voordat de onterechte afwijzing heeft plaatsgevonden) geldt in dit geval als het startmoment van het opnieuw aangemelde incident.</w:t>
            </w:r>
          </w:p>
        </w:tc>
      </w:tr>
    </w:tbl>
    <w:p w14:paraId="40A03BCA" w14:textId="2737C8B6" w:rsidR="00FE1889" w:rsidRDefault="00FE1889"/>
    <w:p w14:paraId="221BAFE8" w14:textId="77777777" w:rsidR="0077292C" w:rsidRDefault="0077292C"/>
    <w:p w14:paraId="18079A41" w14:textId="77777777" w:rsidR="0077292C" w:rsidRPr="00FE1889" w:rsidRDefault="0077292C" w:rsidP="00925B90">
      <w:pPr>
        <w:pStyle w:val="ListParagraph"/>
        <w:numPr>
          <w:ilvl w:val="0"/>
          <w:numId w:val="10"/>
        </w:numPr>
        <w:rPr>
          <w:b/>
          <w:bCs/>
        </w:rPr>
      </w:pPr>
      <w:r w:rsidRPr="00FE1889">
        <w:rPr>
          <w:b/>
          <w:bCs/>
        </w:rPr>
        <w:t>Beheer</w:t>
      </w:r>
      <w:r>
        <w:rPr>
          <w:b/>
          <w:bCs/>
        </w:rPr>
        <w:t xml:space="preserve"> - overleg</w:t>
      </w:r>
    </w:p>
    <w:tbl>
      <w:tblPr>
        <w:tblStyle w:val="TableGrid"/>
        <w:tblW w:w="0" w:type="auto"/>
        <w:tblLook w:val="04A0" w:firstRow="1" w:lastRow="0" w:firstColumn="1" w:lastColumn="0" w:noHBand="0" w:noVBand="1"/>
      </w:tblPr>
      <w:tblGrid>
        <w:gridCol w:w="562"/>
        <w:gridCol w:w="8364"/>
      </w:tblGrid>
      <w:tr w:rsidR="00BF1B0A" w14:paraId="1BB13A50" w14:textId="77777777" w:rsidTr="009741C3">
        <w:trPr>
          <w:cantSplit/>
        </w:trPr>
        <w:tc>
          <w:tcPr>
            <w:tcW w:w="562" w:type="dxa"/>
          </w:tcPr>
          <w:p w14:paraId="76B56BC7" w14:textId="77777777" w:rsidR="00BF1B0A" w:rsidRPr="002A5A2B" w:rsidRDefault="00BF1B0A" w:rsidP="0076285E">
            <w:pPr>
              <w:rPr>
                <w:b/>
                <w:bCs/>
              </w:rPr>
            </w:pPr>
            <w:r w:rsidRPr="002A5A2B">
              <w:rPr>
                <w:b/>
                <w:bCs/>
              </w:rPr>
              <w:t>nr</w:t>
            </w:r>
          </w:p>
        </w:tc>
        <w:tc>
          <w:tcPr>
            <w:tcW w:w="8364" w:type="dxa"/>
          </w:tcPr>
          <w:p w14:paraId="28F4AC07" w14:textId="77777777" w:rsidR="00BF1B0A" w:rsidRPr="002A5A2B" w:rsidRDefault="00BF1B0A" w:rsidP="0076285E">
            <w:pPr>
              <w:rPr>
                <w:b/>
                <w:bCs/>
              </w:rPr>
            </w:pPr>
            <w:r w:rsidRPr="002A5A2B">
              <w:rPr>
                <w:b/>
                <w:bCs/>
              </w:rPr>
              <w:t>Omschrijving</w:t>
            </w:r>
          </w:p>
        </w:tc>
      </w:tr>
      <w:tr w:rsidR="00BF1B0A" w14:paraId="27697B30" w14:textId="77777777" w:rsidTr="009741C3">
        <w:trPr>
          <w:cantSplit/>
        </w:trPr>
        <w:tc>
          <w:tcPr>
            <w:tcW w:w="562" w:type="dxa"/>
          </w:tcPr>
          <w:p w14:paraId="7916E00F" w14:textId="2A0B1876" w:rsidR="00BF1B0A" w:rsidRDefault="00925B90" w:rsidP="0076285E">
            <w:r>
              <w:t>5-1</w:t>
            </w:r>
          </w:p>
        </w:tc>
        <w:tc>
          <w:tcPr>
            <w:tcW w:w="8364" w:type="dxa"/>
          </w:tcPr>
          <w:p w14:paraId="7D9E86D9" w14:textId="411930DC" w:rsidR="00BF1B0A" w:rsidRDefault="00BF1B0A" w:rsidP="0076285E">
            <w:r>
              <w:t xml:space="preserve">Tussen de </w:t>
            </w:r>
            <w:r w:rsidR="001118B2">
              <w:t>o</w:t>
            </w:r>
            <w:r>
              <w:t xml:space="preserve">pdrachtgever en de </w:t>
            </w:r>
            <w:r w:rsidR="001118B2">
              <w:t>o</w:t>
            </w:r>
            <w:r>
              <w:t xml:space="preserve">pdrachtnemer vindt één keer per kwartaal overleg plaats. Dit overleg spitst zich toe op de </w:t>
            </w:r>
            <w:r w:rsidR="001118B2">
              <w:t>o</w:t>
            </w:r>
            <w:r>
              <w:t>vereenkomst, waarbij onder meer gesproken kan worden over:</w:t>
            </w:r>
          </w:p>
          <w:p w14:paraId="45A82626" w14:textId="77777777" w:rsidR="00BF1B0A" w:rsidRDefault="00BF1B0A" w:rsidP="0076285E"/>
          <w:p w14:paraId="5ECC4842" w14:textId="4F1C8FB7" w:rsidR="00BF1B0A" w:rsidRDefault="00BF1B0A" w:rsidP="0076285E">
            <w:r>
              <w:t xml:space="preserve">- aanpassingen aan de </w:t>
            </w:r>
            <w:r w:rsidR="001118B2">
              <w:t>o</w:t>
            </w:r>
            <w:r>
              <w:t>vereenkomst;</w:t>
            </w:r>
          </w:p>
          <w:p w14:paraId="5DFCFE9E" w14:textId="77777777" w:rsidR="00BF1B0A" w:rsidRDefault="00BF1B0A" w:rsidP="0076285E">
            <w:r>
              <w:t>- marktconformiteit;</w:t>
            </w:r>
          </w:p>
          <w:p w14:paraId="4DC0C9CA" w14:textId="77777777" w:rsidR="00BF1B0A" w:rsidRDefault="00BF1B0A" w:rsidP="0076285E">
            <w:r>
              <w:t>- performance van de dienstverlening in het algemeen;</w:t>
            </w:r>
          </w:p>
          <w:p w14:paraId="780A34C7" w14:textId="77777777" w:rsidR="00BF1B0A" w:rsidRDefault="00BF1B0A" w:rsidP="0076285E">
            <w:r>
              <w:t>- financiën;</w:t>
            </w:r>
          </w:p>
          <w:p w14:paraId="3A97B3CC" w14:textId="77777777" w:rsidR="00BF1B0A" w:rsidRDefault="00BF1B0A" w:rsidP="0076285E">
            <w:r>
              <w:t>- rapportages;</w:t>
            </w:r>
          </w:p>
          <w:p w14:paraId="68D97C89" w14:textId="77777777" w:rsidR="00BF1B0A" w:rsidRDefault="00BF1B0A" w:rsidP="0076285E">
            <w:r>
              <w:t>- servicelevels.</w:t>
            </w:r>
          </w:p>
          <w:p w14:paraId="7A8B9564" w14:textId="77777777" w:rsidR="00BF1B0A" w:rsidRDefault="00BF1B0A" w:rsidP="0076285E"/>
          <w:p w14:paraId="57EF26AC" w14:textId="14EAC1BA" w:rsidR="00BF1B0A" w:rsidRDefault="00BF1B0A" w:rsidP="0076285E">
            <w:r>
              <w:t xml:space="preserve">Als daar aanleiding toe is kan op verzoek van de </w:t>
            </w:r>
            <w:r w:rsidR="001118B2">
              <w:t>o</w:t>
            </w:r>
            <w:r>
              <w:t xml:space="preserve">pdrachtgever of de </w:t>
            </w:r>
            <w:r w:rsidR="001118B2">
              <w:t>o</w:t>
            </w:r>
            <w:r>
              <w:t>pdrachtnemer de frequentie van dit overleg tijdelijk worden verhoogd.</w:t>
            </w:r>
          </w:p>
        </w:tc>
      </w:tr>
      <w:tr w:rsidR="00BF1B0A" w14:paraId="321D4048" w14:textId="77777777" w:rsidTr="009741C3">
        <w:trPr>
          <w:cantSplit/>
        </w:trPr>
        <w:tc>
          <w:tcPr>
            <w:tcW w:w="562" w:type="dxa"/>
          </w:tcPr>
          <w:p w14:paraId="14A7B1E3" w14:textId="576FEE0C" w:rsidR="00BF1B0A" w:rsidRDefault="00925B90" w:rsidP="0076285E">
            <w:r>
              <w:lastRenderedPageBreak/>
              <w:t>5-2</w:t>
            </w:r>
          </w:p>
        </w:tc>
        <w:tc>
          <w:tcPr>
            <w:tcW w:w="8364" w:type="dxa"/>
          </w:tcPr>
          <w:p w14:paraId="006015F4" w14:textId="159BA8DE" w:rsidR="00BF1B0A" w:rsidRDefault="00BF1B0A" w:rsidP="0076285E">
            <w:r>
              <w:t xml:space="preserve">Het overleg tussen de </w:t>
            </w:r>
            <w:r w:rsidR="001118B2">
              <w:t>o</w:t>
            </w:r>
            <w:r>
              <w:t xml:space="preserve">pdrachtgever en de </w:t>
            </w:r>
            <w:r w:rsidR="001118B2">
              <w:t>o</w:t>
            </w:r>
            <w:r>
              <w:t xml:space="preserve">pdrachtnemer vindt digitaal plaats, tenzij </w:t>
            </w:r>
            <w:r w:rsidRPr="000C5394">
              <w:t>één van de partijen van mening is dat een digitaal overleg onvoldoende effectief is</w:t>
            </w:r>
            <w:r>
              <w:t>.</w:t>
            </w:r>
            <w:r w:rsidRPr="000C5394">
              <w:t xml:space="preserve"> </w:t>
            </w:r>
            <w:r>
              <w:t>In dat geval</w:t>
            </w:r>
            <w:r w:rsidRPr="000C5394">
              <w:t xml:space="preserve"> dient het overleg fysiek plaats te vinden op een door de </w:t>
            </w:r>
            <w:r w:rsidR="001118B2">
              <w:t>o</w:t>
            </w:r>
            <w:r>
              <w:t>pdrachtgever</w:t>
            </w:r>
            <w:r w:rsidRPr="000C5394">
              <w:t xml:space="preserve"> aan te wijzen locatie</w:t>
            </w:r>
            <w:r>
              <w:t>.</w:t>
            </w:r>
          </w:p>
        </w:tc>
      </w:tr>
    </w:tbl>
    <w:p w14:paraId="0642E03C" w14:textId="77777777" w:rsidR="007E2F39" w:rsidRDefault="007E2F39"/>
    <w:p w14:paraId="7015A299" w14:textId="77777777" w:rsidR="00FE1889" w:rsidRDefault="00FE1889"/>
    <w:p w14:paraId="6CAE259F" w14:textId="77777777" w:rsidR="009748C7" w:rsidRDefault="00CE60C0" w:rsidP="00925B90">
      <w:pPr>
        <w:pStyle w:val="ListParagraph"/>
        <w:numPr>
          <w:ilvl w:val="0"/>
          <w:numId w:val="10"/>
        </w:numPr>
        <w:rPr>
          <w:b/>
          <w:bCs/>
        </w:rPr>
      </w:pPr>
      <w:r w:rsidRPr="00CE60C0">
        <w:rPr>
          <w:b/>
          <w:bCs/>
        </w:rPr>
        <w:t>Servicelevels</w:t>
      </w:r>
    </w:p>
    <w:p w14:paraId="5C36FA47" w14:textId="1A575843" w:rsidR="00AE1415" w:rsidRPr="00AE1415" w:rsidRDefault="009F22DC">
      <w:pPr>
        <w:rPr>
          <w:i/>
          <w:iCs/>
        </w:rPr>
      </w:pPr>
      <w:r>
        <w:rPr>
          <w:i/>
          <w:iCs/>
        </w:rPr>
        <w:t>H</w:t>
      </w:r>
      <w:r w:rsidR="009748C7">
        <w:rPr>
          <w:i/>
          <w:iCs/>
        </w:rPr>
        <w:t xml:space="preserve">ieronder volgt een aantal servicelevels die de gebruiker van dit document kan opnemen. </w:t>
      </w:r>
      <w:r>
        <w:rPr>
          <w:i/>
          <w:iCs/>
        </w:rPr>
        <w:t>De keuze welke servicelevels worden ingezet en de exacte invulling ervan kunnen echter per gebruiker verschillen</w:t>
      </w:r>
      <w:r w:rsidR="005D0033">
        <w:rPr>
          <w:i/>
          <w:iCs/>
        </w:rPr>
        <w:t>, bijvoorbeeld omdat een gebruiker ze in lijn wil brengen met andere al bestaande servicelevels of omdat een gebruiker leveranciers op een andere manier (met andere servicelevels) wenst aan te sturen.</w:t>
      </w:r>
      <w:r>
        <w:rPr>
          <w:i/>
          <w:iCs/>
        </w:rPr>
        <w:t xml:space="preserve"> </w:t>
      </w:r>
      <w:r w:rsidR="00AE1415" w:rsidRPr="00AE1415">
        <w:rPr>
          <w:i/>
          <w:iCs/>
        </w:rPr>
        <w:t xml:space="preserve">De gebruiker van het document dient </w:t>
      </w:r>
      <w:r w:rsidR="00B25582">
        <w:rPr>
          <w:i/>
          <w:iCs/>
        </w:rPr>
        <w:t xml:space="preserve">daarom </w:t>
      </w:r>
      <w:r w:rsidR="00AE1415" w:rsidRPr="00AE1415">
        <w:rPr>
          <w:i/>
          <w:iCs/>
        </w:rPr>
        <w:t>zelf vast te stellen:</w:t>
      </w:r>
    </w:p>
    <w:p w14:paraId="10C3A760" w14:textId="6834F6B3" w:rsidR="00AE1415" w:rsidRPr="009F22DC" w:rsidRDefault="00AE1415" w:rsidP="00AE1415">
      <w:pPr>
        <w:pStyle w:val="ListParagraph"/>
        <w:numPr>
          <w:ilvl w:val="0"/>
          <w:numId w:val="9"/>
        </w:numPr>
        <w:rPr>
          <w:i/>
          <w:iCs/>
        </w:rPr>
      </w:pPr>
      <w:r w:rsidRPr="009F22DC">
        <w:rPr>
          <w:i/>
          <w:iCs/>
        </w:rPr>
        <w:t>Of hij het servicelevel van toepassing wil verklaren.</w:t>
      </w:r>
    </w:p>
    <w:p w14:paraId="52E91069" w14:textId="5147FEF4" w:rsidR="00AE1415" w:rsidRPr="009F22DC" w:rsidRDefault="009F22DC" w:rsidP="00AE1415">
      <w:pPr>
        <w:pStyle w:val="ListParagraph"/>
        <w:numPr>
          <w:ilvl w:val="0"/>
          <w:numId w:val="9"/>
        </w:numPr>
        <w:rPr>
          <w:i/>
          <w:iCs/>
        </w:rPr>
      </w:pPr>
      <w:r w:rsidRPr="009F22DC">
        <w:rPr>
          <w:i/>
          <w:iCs/>
        </w:rPr>
        <w:t>Wat de waarde van het servicelevel dient te zijn (bijvoorbeeld oplossing van een incident binnen één uur, twee uur of anders).</w:t>
      </w:r>
    </w:p>
    <w:p w14:paraId="7ACE8A3D" w14:textId="4B263F44" w:rsidR="00CE60C0" w:rsidRPr="009F22DC" w:rsidRDefault="009F22DC" w:rsidP="00AE1415">
      <w:pPr>
        <w:pStyle w:val="ListParagraph"/>
        <w:numPr>
          <w:ilvl w:val="0"/>
          <w:numId w:val="9"/>
        </w:numPr>
        <w:rPr>
          <w:b/>
          <w:bCs/>
          <w:i/>
          <w:iCs/>
        </w:rPr>
      </w:pPr>
      <w:r w:rsidRPr="009F22DC">
        <w:rPr>
          <w:i/>
          <w:iCs/>
        </w:rPr>
        <w:t>Wat de consequentie is als niet aan het servicelevel wordt voldaan (bijvoorbeeld een boete ter hoogte van 3% van de hoogte van de eerstkomende maandfactuur, een boete van € 100,- per overschrijding van het servic</w:t>
      </w:r>
      <w:r w:rsidR="00B25582">
        <w:rPr>
          <w:i/>
          <w:iCs/>
        </w:rPr>
        <w:t>e</w:t>
      </w:r>
      <w:r w:rsidRPr="009F22DC">
        <w:rPr>
          <w:i/>
          <w:iCs/>
        </w:rPr>
        <w:t>level, of anders).</w:t>
      </w:r>
    </w:p>
    <w:p w14:paraId="6863DCDC" w14:textId="77777777" w:rsidR="009F22DC" w:rsidRPr="009F22DC" w:rsidRDefault="009F22DC" w:rsidP="009F22DC">
      <w:pPr>
        <w:rPr>
          <w:b/>
          <w:bCs/>
        </w:rPr>
      </w:pPr>
    </w:p>
    <w:tbl>
      <w:tblPr>
        <w:tblStyle w:val="TableGrid"/>
        <w:tblW w:w="0" w:type="auto"/>
        <w:tblLook w:val="04A0" w:firstRow="1" w:lastRow="0" w:firstColumn="1" w:lastColumn="0" w:noHBand="0" w:noVBand="1"/>
      </w:tblPr>
      <w:tblGrid>
        <w:gridCol w:w="562"/>
        <w:gridCol w:w="8364"/>
      </w:tblGrid>
      <w:tr w:rsidR="00BF1B0A" w14:paraId="00F959C6" w14:textId="77777777" w:rsidTr="009741C3">
        <w:trPr>
          <w:cantSplit/>
        </w:trPr>
        <w:tc>
          <w:tcPr>
            <w:tcW w:w="562" w:type="dxa"/>
          </w:tcPr>
          <w:p w14:paraId="71AF3469" w14:textId="767A8F84" w:rsidR="00BF1B0A" w:rsidRPr="002A5A2B" w:rsidRDefault="00925B90" w:rsidP="00CC3D23">
            <w:pPr>
              <w:rPr>
                <w:b/>
                <w:bCs/>
              </w:rPr>
            </w:pPr>
            <w:r w:rsidRPr="002A5A2B">
              <w:rPr>
                <w:b/>
                <w:bCs/>
              </w:rPr>
              <w:t>N</w:t>
            </w:r>
            <w:r w:rsidR="00BF1B0A" w:rsidRPr="002A5A2B">
              <w:rPr>
                <w:b/>
                <w:bCs/>
              </w:rPr>
              <w:t>r</w:t>
            </w:r>
          </w:p>
        </w:tc>
        <w:tc>
          <w:tcPr>
            <w:tcW w:w="8364" w:type="dxa"/>
          </w:tcPr>
          <w:p w14:paraId="697AA5D0" w14:textId="77777777" w:rsidR="00BF1B0A" w:rsidRPr="002A5A2B" w:rsidRDefault="00BF1B0A" w:rsidP="00CC3D23">
            <w:pPr>
              <w:rPr>
                <w:b/>
                <w:bCs/>
              </w:rPr>
            </w:pPr>
            <w:r w:rsidRPr="002A5A2B">
              <w:rPr>
                <w:b/>
                <w:bCs/>
              </w:rPr>
              <w:t>Omschrijving</w:t>
            </w:r>
          </w:p>
        </w:tc>
      </w:tr>
      <w:tr w:rsidR="00BF1B0A" w14:paraId="6AC82F1A" w14:textId="77777777" w:rsidTr="009741C3">
        <w:trPr>
          <w:cantSplit/>
        </w:trPr>
        <w:tc>
          <w:tcPr>
            <w:tcW w:w="562" w:type="dxa"/>
          </w:tcPr>
          <w:p w14:paraId="01AB1240" w14:textId="71027C16" w:rsidR="00BF1B0A" w:rsidRDefault="00925B90" w:rsidP="00CC3D23">
            <w:r>
              <w:t>6-1</w:t>
            </w:r>
          </w:p>
        </w:tc>
        <w:tc>
          <w:tcPr>
            <w:tcW w:w="8364" w:type="dxa"/>
          </w:tcPr>
          <w:p w14:paraId="1AE7D806" w14:textId="535D41D3" w:rsidR="00BF1B0A" w:rsidRDefault="00BF1B0A" w:rsidP="00CC3D23">
            <w:r>
              <w:t xml:space="preserve">De </w:t>
            </w:r>
            <w:r w:rsidR="005E0808">
              <w:t xml:space="preserve">compliancy van de </w:t>
            </w:r>
            <w:r>
              <w:t xml:space="preserve">door de </w:t>
            </w:r>
            <w:r w:rsidR="001118B2">
              <w:t>o</w:t>
            </w:r>
            <w:r>
              <w:t xml:space="preserve">pdrachtnemer beheerde Haven omgeving </w:t>
            </w:r>
            <w:r w:rsidR="009748C7">
              <w:t>dient</w:t>
            </w:r>
            <w:r w:rsidR="005E0808">
              <w:t xml:space="preserve"> te allen tijde </w:t>
            </w:r>
            <w:r w:rsidR="009748C7">
              <w:t xml:space="preserve">te kunnen </w:t>
            </w:r>
            <w:r w:rsidR="005E0808">
              <w:t xml:space="preserve">worden aangetoond met de Haven Compliancy Checker. </w:t>
            </w:r>
          </w:p>
        </w:tc>
      </w:tr>
      <w:tr w:rsidR="00BF1B0A" w14:paraId="6FF7784B" w14:textId="77777777" w:rsidTr="009741C3">
        <w:trPr>
          <w:cantSplit/>
        </w:trPr>
        <w:tc>
          <w:tcPr>
            <w:tcW w:w="562" w:type="dxa"/>
          </w:tcPr>
          <w:p w14:paraId="78F5C423" w14:textId="23DDA1A8" w:rsidR="00BF1B0A" w:rsidRDefault="00925B90" w:rsidP="00CC3D23">
            <w:r>
              <w:t>6-2</w:t>
            </w:r>
          </w:p>
        </w:tc>
        <w:tc>
          <w:tcPr>
            <w:tcW w:w="8364" w:type="dxa"/>
          </w:tcPr>
          <w:p w14:paraId="0772704D" w14:textId="315F06BC" w:rsidR="00BF1B0A" w:rsidRDefault="00BF1B0A" w:rsidP="00CC3D23">
            <w:r>
              <w:t xml:space="preserve">Een aangemeld incident dat betrekking heeft op de door de </w:t>
            </w:r>
            <w:r w:rsidR="001118B2">
              <w:t>o</w:t>
            </w:r>
            <w:r>
              <w:t>pdrachtnemer beheerde Haven omgeving dient binnen één uur nadat het incident is aangemeld te zijn opgelost.</w:t>
            </w:r>
          </w:p>
        </w:tc>
      </w:tr>
      <w:tr w:rsidR="00BF1B0A" w14:paraId="036A9546" w14:textId="77777777" w:rsidTr="009741C3">
        <w:trPr>
          <w:cantSplit/>
        </w:trPr>
        <w:tc>
          <w:tcPr>
            <w:tcW w:w="562" w:type="dxa"/>
          </w:tcPr>
          <w:p w14:paraId="03CECE42" w14:textId="140BDF37" w:rsidR="00BF1B0A" w:rsidRDefault="00925B90" w:rsidP="00CC3D23">
            <w:r>
              <w:t>6-3</w:t>
            </w:r>
          </w:p>
        </w:tc>
        <w:tc>
          <w:tcPr>
            <w:tcW w:w="8364" w:type="dxa"/>
          </w:tcPr>
          <w:p w14:paraId="2FCB7AF1" w14:textId="12DA03AC" w:rsidR="00BF1B0A" w:rsidRDefault="00BF1B0A" w:rsidP="00CC3D23">
            <w:r>
              <w:t xml:space="preserve">De </w:t>
            </w:r>
            <w:r w:rsidR="001118B2">
              <w:t>o</w:t>
            </w:r>
            <w:r>
              <w:t xml:space="preserve">pdrachtnemer dient de aanmelder van een incident binnen een half uur nadat het incident is aangemeld ervan op de hoogte te brengen als het aangemelde incident geen betrekking heeft op de door de </w:t>
            </w:r>
            <w:r w:rsidR="001118B2">
              <w:t>o</w:t>
            </w:r>
            <w:r>
              <w:t xml:space="preserve">pdrachtnemer beheerde Haven omgeving of een andere door de </w:t>
            </w:r>
            <w:r w:rsidR="001118B2">
              <w:t>o</w:t>
            </w:r>
            <w:r>
              <w:t>pdrachtnemer beheerde infrastructuurcomponent.</w:t>
            </w:r>
          </w:p>
        </w:tc>
      </w:tr>
      <w:tr w:rsidR="00BF1B0A" w14:paraId="72C16309" w14:textId="77777777" w:rsidTr="009741C3">
        <w:trPr>
          <w:cantSplit/>
        </w:trPr>
        <w:tc>
          <w:tcPr>
            <w:tcW w:w="562" w:type="dxa"/>
          </w:tcPr>
          <w:p w14:paraId="2AED635E" w14:textId="5C7642F1" w:rsidR="00BF1B0A" w:rsidRDefault="00925B90" w:rsidP="00CC3D23">
            <w:r>
              <w:t>6-4</w:t>
            </w:r>
          </w:p>
        </w:tc>
        <w:tc>
          <w:tcPr>
            <w:tcW w:w="8364" w:type="dxa"/>
          </w:tcPr>
          <w:p w14:paraId="3886E1EB" w14:textId="11CC31D9" w:rsidR="00BF1B0A" w:rsidRDefault="00BF1B0A" w:rsidP="00CE60C0">
            <w:r>
              <w:t xml:space="preserve">De </w:t>
            </w:r>
            <w:r w:rsidR="001118B2">
              <w:t>o</w:t>
            </w:r>
            <w:r>
              <w:t xml:space="preserve">pdrachtnemer dient een bij hem aangemeld incident dat geen betrekking heeft op door hem beheerde infrastructuur binnen een half uur nadat het incident is aangemeld aan te melden bij de beheerder van de infrastructuur waar het incident wel betrekking op heeft (uitsluitend als de </w:t>
            </w:r>
            <w:r w:rsidR="001118B2">
              <w:t>o</w:t>
            </w:r>
            <w:r>
              <w:t xml:space="preserve">pdrachtgever hierom heeft verzocht, de juiste contactgegevens beschikbaar heeft gesteld en de openingstijden van de incidentdesk van de beheerder van de infrastructuur waarop het incident wel betrekking heeft dit mogelijk maken). </w:t>
            </w:r>
          </w:p>
        </w:tc>
      </w:tr>
    </w:tbl>
    <w:p w14:paraId="10E15F48" w14:textId="043C1A91" w:rsidR="00CE60C0" w:rsidRDefault="00CE60C0"/>
    <w:p w14:paraId="496C44D5" w14:textId="77777777" w:rsidR="003A451A" w:rsidRDefault="003A451A"/>
    <w:p w14:paraId="741E5AD9" w14:textId="52F3791C" w:rsidR="00CE60C0" w:rsidRPr="00FD4A7D" w:rsidRDefault="00CE60C0" w:rsidP="00925B90">
      <w:pPr>
        <w:pStyle w:val="ListParagraph"/>
        <w:numPr>
          <w:ilvl w:val="0"/>
          <w:numId w:val="10"/>
        </w:numPr>
        <w:rPr>
          <w:b/>
          <w:bCs/>
        </w:rPr>
      </w:pPr>
      <w:r w:rsidRPr="00FD4A7D">
        <w:rPr>
          <w:b/>
          <w:bCs/>
        </w:rPr>
        <w:t>Rapportage</w:t>
      </w:r>
    </w:p>
    <w:tbl>
      <w:tblPr>
        <w:tblStyle w:val="TableGrid"/>
        <w:tblW w:w="0" w:type="auto"/>
        <w:tblLook w:val="04A0" w:firstRow="1" w:lastRow="0" w:firstColumn="1" w:lastColumn="0" w:noHBand="0" w:noVBand="1"/>
      </w:tblPr>
      <w:tblGrid>
        <w:gridCol w:w="562"/>
        <w:gridCol w:w="8364"/>
      </w:tblGrid>
      <w:tr w:rsidR="00BF1B0A" w14:paraId="32870D2D" w14:textId="77777777" w:rsidTr="00BF1B0A">
        <w:trPr>
          <w:cantSplit/>
        </w:trPr>
        <w:tc>
          <w:tcPr>
            <w:tcW w:w="562" w:type="dxa"/>
          </w:tcPr>
          <w:p w14:paraId="47D43873" w14:textId="77777777" w:rsidR="00BF1B0A" w:rsidRPr="002A5A2B" w:rsidRDefault="00BF1B0A" w:rsidP="00CC3D23">
            <w:pPr>
              <w:rPr>
                <w:b/>
                <w:bCs/>
              </w:rPr>
            </w:pPr>
            <w:r w:rsidRPr="002A5A2B">
              <w:rPr>
                <w:b/>
                <w:bCs/>
              </w:rPr>
              <w:t>nr</w:t>
            </w:r>
          </w:p>
        </w:tc>
        <w:tc>
          <w:tcPr>
            <w:tcW w:w="8364" w:type="dxa"/>
          </w:tcPr>
          <w:p w14:paraId="33868153" w14:textId="77777777" w:rsidR="00BF1B0A" w:rsidRPr="002A5A2B" w:rsidRDefault="00BF1B0A" w:rsidP="00CC3D23">
            <w:pPr>
              <w:rPr>
                <w:b/>
                <w:bCs/>
              </w:rPr>
            </w:pPr>
            <w:r w:rsidRPr="002A5A2B">
              <w:rPr>
                <w:b/>
                <w:bCs/>
              </w:rPr>
              <w:t>Omschrijving</w:t>
            </w:r>
          </w:p>
        </w:tc>
      </w:tr>
      <w:tr w:rsidR="00BF1B0A" w14:paraId="3A6B9C4D" w14:textId="77777777" w:rsidTr="00BF1B0A">
        <w:trPr>
          <w:cantSplit/>
        </w:trPr>
        <w:tc>
          <w:tcPr>
            <w:tcW w:w="562" w:type="dxa"/>
          </w:tcPr>
          <w:p w14:paraId="02113505" w14:textId="0C399929" w:rsidR="00BF1B0A" w:rsidRDefault="00925B90" w:rsidP="00CC3D23">
            <w:r>
              <w:lastRenderedPageBreak/>
              <w:t>7-1</w:t>
            </w:r>
          </w:p>
        </w:tc>
        <w:tc>
          <w:tcPr>
            <w:tcW w:w="8364" w:type="dxa"/>
          </w:tcPr>
          <w:p w14:paraId="29012D12" w14:textId="64A3130C" w:rsidR="00BF1B0A" w:rsidRDefault="00BF1B0A" w:rsidP="00CC3D23">
            <w:r>
              <w:t xml:space="preserve">De </w:t>
            </w:r>
            <w:r w:rsidR="001118B2">
              <w:t>o</w:t>
            </w:r>
            <w:r>
              <w:t xml:space="preserve">pdrachtnemer rapporteert binnen 10 dagen na het verstrijken van een maand over de beschikbaarheid van de door hem beheerde Haven omgeving over de zojuist verstreken maand. In deze rapportage wordt de </w:t>
            </w:r>
            <w:r w:rsidR="001118B2">
              <w:t>o</w:t>
            </w:r>
            <w:r>
              <w:t>pdrachtgever in ieder geval geïnformeerd over:</w:t>
            </w:r>
          </w:p>
          <w:p w14:paraId="35861898" w14:textId="543A6D58" w:rsidR="00BF1B0A" w:rsidRDefault="00BF1B0A" w:rsidP="00A17A86">
            <w:pPr>
              <w:pStyle w:val="ListParagraph"/>
              <w:numPr>
                <w:ilvl w:val="0"/>
                <w:numId w:val="4"/>
              </w:numPr>
            </w:pPr>
            <w:r>
              <w:t xml:space="preserve">Het beschikbaarheidspercentage </w:t>
            </w:r>
            <w:r>
              <w:br/>
              <w:t>(aantal minuten dat de omgeving beschikbaar is geweest gedeeld door het totaal minuten van de maand).</w:t>
            </w:r>
          </w:p>
          <w:p w14:paraId="0CFF7432" w14:textId="3F196680" w:rsidR="00BF1B0A" w:rsidRDefault="00BF1B0A" w:rsidP="00A17A86">
            <w:pPr>
              <w:pStyle w:val="ListParagraph"/>
              <w:numPr>
                <w:ilvl w:val="0"/>
                <w:numId w:val="4"/>
              </w:numPr>
            </w:pPr>
            <w:r>
              <w:t>De perioden waarin de Haven omgeving niet beschikbaar is geweest.</w:t>
            </w:r>
          </w:p>
          <w:p w14:paraId="692BA0BC" w14:textId="01F4363D" w:rsidR="00BF1B0A" w:rsidRDefault="00BF1B0A" w:rsidP="00A17A86">
            <w:pPr>
              <w:pStyle w:val="ListParagraph"/>
              <w:numPr>
                <w:ilvl w:val="0"/>
                <w:numId w:val="4"/>
              </w:numPr>
            </w:pPr>
            <w:r>
              <w:t xml:space="preserve">De perioden waarin sprake is geweest van gepland en vooraf met de </w:t>
            </w:r>
            <w:r w:rsidR="00071F4F">
              <w:t>o</w:t>
            </w:r>
            <w:r>
              <w:t>pdrachtgever overeengekomen onderhoud.</w:t>
            </w:r>
          </w:p>
        </w:tc>
      </w:tr>
      <w:tr w:rsidR="00BF1B0A" w14:paraId="3B03AA21" w14:textId="77777777" w:rsidTr="00BF1B0A">
        <w:trPr>
          <w:cantSplit/>
        </w:trPr>
        <w:tc>
          <w:tcPr>
            <w:tcW w:w="562" w:type="dxa"/>
          </w:tcPr>
          <w:p w14:paraId="0B9E4C06" w14:textId="0B5A300F" w:rsidR="00BF1B0A" w:rsidRDefault="00925B90" w:rsidP="00CC3D23">
            <w:r>
              <w:t>7-2</w:t>
            </w:r>
          </w:p>
        </w:tc>
        <w:tc>
          <w:tcPr>
            <w:tcW w:w="8364" w:type="dxa"/>
          </w:tcPr>
          <w:p w14:paraId="06264CFE" w14:textId="17B55190" w:rsidR="00BF1B0A" w:rsidRDefault="00BF1B0A" w:rsidP="00B75046">
            <w:r>
              <w:t xml:space="preserve">De </w:t>
            </w:r>
            <w:r w:rsidR="001118B2">
              <w:t>o</w:t>
            </w:r>
            <w:r>
              <w:t xml:space="preserve">pdrachtnemer rapporteert binnen 10 dagen na het verstrijken van een maand over de incidenten die bij hem zijn aangemeld in de zojuist verstreken maand. In deze rapportage wordt de </w:t>
            </w:r>
            <w:r w:rsidR="001118B2">
              <w:t>o</w:t>
            </w:r>
            <w:r>
              <w:t>pdrachtgever in ieder geval geïnformeerd over:</w:t>
            </w:r>
          </w:p>
          <w:p w14:paraId="10185754" w14:textId="66A37FCE" w:rsidR="00BF1B0A" w:rsidRDefault="00BF1B0A" w:rsidP="00077B21">
            <w:pPr>
              <w:pStyle w:val="ListParagraph"/>
              <w:numPr>
                <w:ilvl w:val="0"/>
                <w:numId w:val="5"/>
              </w:numPr>
            </w:pPr>
            <w:r>
              <w:t>Het aantal aangemelde incidenten.</w:t>
            </w:r>
          </w:p>
          <w:p w14:paraId="296AE318" w14:textId="77918CB2" w:rsidR="00BF1B0A" w:rsidRDefault="00BF1B0A" w:rsidP="00077B21">
            <w:pPr>
              <w:pStyle w:val="ListParagraph"/>
              <w:numPr>
                <w:ilvl w:val="0"/>
                <w:numId w:val="5"/>
              </w:numPr>
            </w:pPr>
            <w:r>
              <w:t xml:space="preserve">Het aantal incidenten dat geen betrekking had op door de </w:t>
            </w:r>
            <w:r w:rsidR="001118B2">
              <w:t>o</w:t>
            </w:r>
            <w:r>
              <w:t>pdrachtnemer beheerde infrastructuur.</w:t>
            </w:r>
          </w:p>
          <w:p w14:paraId="1DE655E8" w14:textId="26215A0E" w:rsidR="00BF1B0A" w:rsidRDefault="00BF1B0A" w:rsidP="00077B21">
            <w:pPr>
              <w:pStyle w:val="ListParagraph"/>
              <w:numPr>
                <w:ilvl w:val="0"/>
                <w:numId w:val="5"/>
              </w:numPr>
            </w:pPr>
            <w:r>
              <w:t xml:space="preserve">De oplosduur van ieder aangemeld incident dat door de </w:t>
            </w:r>
            <w:r w:rsidR="001118B2">
              <w:t>o</w:t>
            </w:r>
            <w:r>
              <w:t>pdrachtnemer zelf is opgelost.</w:t>
            </w:r>
          </w:p>
          <w:p w14:paraId="0D5BFEC9" w14:textId="59F8AEA0" w:rsidR="00BF1B0A" w:rsidRDefault="00BF1B0A" w:rsidP="00077B21">
            <w:pPr>
              <w:pStyle w:val="ListParagraph"/>
              <w:numPr>
                <w:ilvl w:val="0"/>
                <w:numId w:val="5"/>
              </w:numPr>
            </w:pPr>
            <w:r>
              <w:t xml:space="preserve">De hoeveelheid verstreken tijd voordat bij de aanmelder van een incident is aangegeven dat het aangemelde incident geen betrekking had op door de </w:t>
            </w:r>
            <w:r w:rsidR="001118B2">
              <w:t>o</w:t>
            </w:r>
            <w:r>
              <w:t>pdrachtnemer beheerde infrastructuur.</w:t>
            </w:r>
          </w:p>
          <w:p w14:paraId="52D73AE6" w14:textId="17B6C4FE" w:rsidR="00BF1B0A" w:rsidRDefault="00BF1B0A" w:rsidP="00CC3D23">
            <w:pPr>
              <w:pStyle w:val="ListParagraph"/>
              <w:numPr>
                <w:ilvl w:val="0"/>
                <w:numId w:val="5"/>
              </w:numPr>
            </w:pPr>
            <w:r>
              <w:t xml:space="preserve">De hoeveelheid verstreken tijd voordat een incident dat geen betrekking had op door de </w:t>
            </w:r>
            <w:r w:rsidR="001118B2">
              <w:t>o</w:t>
            </w:r>
            <w:r>
              <w:t>pdrachtnemer beheerde infrastructuur is aangemeld bij de beheerder van de infrastructuur waarop het incident wel betrekking had (indien van toepassing).</w:t>
            </w:r>
          </w:p>
        </w:tc>
      </w:tr>
    </w:tbl>
    <w:p w14:paraId="4B885290" w14:textId="3119512A" w:rsidR="00CE60C0" w:rsidRDefault="00CE60C0"/>
    <w:p w14:paraId="5F18F9A9" w14:textId="1B381D31" w:rsidR="00FA085A" w:rsidRDefault="00FA085A"/>
    <w:p w14:paraId="5D2DFA4C" w14:textId="51667F6E" w:rsidR="0077292C" w:rsidRPr="00FE1889" w:rsidRDefault="0077292C" w:rsidP="00925B90">
      <w:pPr>
        <w:pStyle w:val="ListParagraph"/>
        <w:numPr>
          <w:ilvl w:val="0"/>
          <w:numId w:val="10"/>
        </w:numPr>
        <w:rPr>
          <w:b/>
          <w:bCs/>
        </w:rPr>
      </w:pPr>
      <w:r>
        <w:rPr>
          <w:b/>
          <w:bCs/>
        </w:rPr>
        <w:t>Audit</w:t>
      </w:r>
    </w:p>
    <w:tbl>
      <w:tblPr>
        <w:tblStyle w:val="TableGrid"/>
        <w:tblW w:w="0" w:type="auto"/>
        <w:tblLook w:val="04A0" w:firstRow="1" w:lastRow="0" w:firstColumn="1" w:lastColumn="0" w:noHBand="0" w:noVBand="1"/>
      </w:tblPr>
      <w:tblGrid>
        <w:gridCol w:w="562"/>
        <w:gridCol w:w="8364"/>
      </w:tblGrid>
      <w:tr w:rsidR="00BF1B0A" w14:paraId="51C45B30" w14:textId="77777777" w:rsidTr="00BF1B0A">
        <w:trPr>
          <w:cantSplit/>
        </w:trPr>
        <w:tc>
          <w:tcPr>
            <w:tcW w:w="562" w:type="dxa"/>
          </w:tcPr>
          <w:p w14:paraId="47E81345" w14:textId="787093C0" w:rsidR="00BF1B0A" w:rsidRPr="002A5A2B" w:rsidRDefault="00925B90" w:rsidP="0076285E">
            <w:pPr>
              <w:rPr>
                <w:b/>
                <w:bCs/>
              </w:rPr>
            </w:pPr>
            <w:r w:rsidRPr="002A5A2B">
              <w:rPr>
                <w:b/>
                <w:bCs/>
              </w:rPr>
              <w:t>N</w:t>
            </w:r>
            <w:r w:rsidR="00BF1B0A" w:rsidRPr="002A5A2B">
              <w:rPr>
                <w:b/>
                <w:bCs/>
              </w:rPr>
              <w:t>r</w:t>
            </w:r>
          </w:p>
        </w:tc>
        <w:tc>
          <w:tcPr>
            <w:tcW w:w="8364" w:type="dxa"/>
          </w:tcPr>
          <w:p w14:paraId="2D3819DB" w14:textId="77777777" w:rsidR="00BF1B0A" w:rsidRPr="002A5A2B" w:rsidRDefault="00BF1B0A" w:rsidP="0076285E">
            <w:pPr>
              <w:rPr>
                <w:b/>
                <w:bCs/>
              </w:rPr>
            </w:pPr>
            <w:r w:rsidRPr="002A5A2B">
              <w:rPr>
                <w:b/>
                <w:bCs/>
              </w:rPr>
              <w:t>Omschrijving</w:t>
            </w:r>
          </w:p>
        </w:tc>
      </w:tr>
      <w:tr w:rsidR="00BF1B0A" w14:paraId="64AF105D" w14:textId="77777777" w:rsidTr="00BF1B0A">
        <w:trPr>
          <w:cantSplit/>
        </w:trPr>
        <w:tc>
          <w:tcPr>
            <w:tcW w:w="562" w:type="dxa"/>
          </w:tcPr>
          <w:p w14:paraId="74EB1867" w14:textId="77D72085" w:rsidR="00BF1B0A" w:rsidRDefault="00925B90" w:rsidP="0076285E">
            <w:r>
              <w:t>8-1</w:t>
            </w:r>
          </w:p>
        </w:tc>
        <w:tc>
          <w:tcPr>
            <w:tcW w:w="8364" w:type="dxa"/>
          </w:tcPr>
          <w:p w14:paraId="29141B67" w14:textId="6BE3ACD6" w:rsidR="00BF1B0A" w:rsidRDefault="00BF1B0A" w:rsidP="0076285E">
            <w:r w:rsidRPr="00ED73CE">
              <w:t xml:space="preserve">De </w:t>
            </w:r>
            <w:r w:rsidR="001118B2">
              <w:t>o</w:t>
            </w:r>
            <w:r w:rsidRPr="00ED73CE">
              <w:t>pdrachtgever heeft het recht om</w:t>
            </w:r>
            <w:r w:rsidR="00BF1D98">
              <w:t xml:space="preserve"> bij de opdrachtnemer zelf </w:t>
            </w:r>
            <w:r w:rsidRPr="00ED73CE">
              <w:t>een audit uit</w:t>
            </w:r>
            <w:r w:rsidR="00BF1D98">
              <w:t xml:space="preserve"> te </w:t>
            </w:r>
            <w:r w:rsidRPr="00ED73CE">
              <w:t xml:space="preserve">voeren </w:t>
            </w:r>
            <w:r w:rsidR="00BF1D98">
              <w:t>of door een derde partij een audit uit te laten voeren.</w:t>
            </w:r>
          </w:p>
        </w:tc>
      </w:tr>
      <w:tr w:rsidR="00BF1B0A" w14:paraId="38B76512" w14:textId="77777777" w:rsidTr="00BF1B0A">
        <w:trPr>
          <w:cantSplit/>
        </w:trPr>
        <w:tc>
          <w:tcPr>
            <w:tcW w:w="562" w:type="dxa"/>
          </w:tcPr>
          <w:p w14:paraId="2B13A2FE" w14:textId="72615C94" w:rsidR="00BF1B0A" w:rsidRDefault="00925B90" w:rsidP="0076285E">
            <w:r>
              <w:t>8-2</w:t>
            </w:r>
          </w:p>
        </w:tc>
        <w:tc>
          <w:tcPr>
            <w:tcW w:w="8364" w:type="dxa"/>
          </w:tcPr>
          <w:p w14:paraId="4C8D3C33" w14:textId="542C7B74" w:rsidR="00BF1B0A" w:rsidRDefault="00BF1B0A" w:rsidP="00ED73CE">
            <w:r>
              <w:t>Een audit dient plaats te kunnen vinden op de door de opdrachtnemer beheerde Haven omgeving. Aanleiding hiervoor kan bijvoorbeeld zijn:</w:t>
            </w:r>
          </w:p>
          <w:p w14:paraId="73DAB8B3" w14:textId="40681AE3" w:rsidR="00BF1B0A" w:rsidRDefault="00BF1B0A" w:rsidP="005F051E">
            <w:pPr>
              <w:pStyle w:val="ListParagraph"/>
              <w:numPr>
                <w:ilvl w:val="0"/>
                <w:numId w:val="6"/>
              </w:numPr>
            </w:pPr>
            <w:r>
              <w:t xml:space="preserve">Gerede twijfel bij de </w:t>
            </w:r>
            <w:r w:rsidR="00BF1D98">
              <w:t>o</w:t>
            </w:r>
            <w:r>
              <w:t>pdrachtgever of de Haven omgeving op de juiste manier is geïmplementeerd en ingericht.</w:t>
            </w:r>
          </w:p>
          <w:p w14:paraId="1F077633" w14:textId="42CDD456" w:rsidR="00BF1B0A" w:rsidRDefault="00BF1B0A" w:rsidP="005F051E">
            <w:pPr>
              <w:pStyle w:val="ListParagraph"/>
              <w:numPr>
                <w:ilvl w:val="0"/>
                <w:numId w:val="6"/>
              </w:numPr>
            </w:pPr>
            <w:r>
              <w:t xml:space="preserve">Gerede twijfel bij de </w:t>
            </w:r>
            <w:r w:rsidR="00BF1D98">
              <w:t>o</w:t>
            </w:r>
            <w:r>
              <w:t>pdrachtgever of de Haven omgeving op de juiste manier functioneert.</w:t>
            </w:r>
          </w:p>
          <w:p w14:paraId="79712598" w14:textId="24E14504" w:rsidR="00BF1B0A" w:rsidRDefault="00BF1B0A" w:rsidP="005F051E">
            <w:pPr>
              <w:pStyle w:val="ListParagraph"/>
              <w:numPr>
                <w:ilvl w:val="0"/>
                <w:numId w:val="6"/>
              </w:numPr>
            </w:pPr>
            <w:r>
              <w:t>Overschrijding van de overeengekomen servicelevels.</w:t>
            </w:r>
          </w:p>
          <w:p w14:paraId="71216F76" w14:textId="5A241979" w:rsidR="00BF1B0A" w:rsidRDefault="00BF1B0A" w:rsidP="005F051E">
            <w:pPr>
              <w:pStyle w:val="ListParagraph"/>
              <w:numPr>
                <w:ilvl w:val="0"/>
                <w:numId w:val="6"/>
              </w:numPr>
            </w:pPr>
            <w:r>
              <w:t>E</w:t>
            </w:r>
            <w:r w:rsidRPr="00B02172">
              <w:t xml:space="preserve">en verplichting om een audit in te zetten indien dat voor de interne verantwoording van de </w:t>
            </w:r>
            <w:r w:rsidR="00BF1D98">
              <w:t>o</w:t>
            </w:r>
            <w:r w:rsidRPr="00B02172">
              <w:t>pdrachtgever noodzakelijk is of dit door een Rekenkamer wordt vereist</w:t>
            </w:r>
            <w:r>
              <w:t>.</w:t>
            </w:r>
          </w:p>
          <w:p w14:paraId="57EE351C" w14:textId="77777777" w:rsidR="00BF1B0A" w:rsidRDefault="00BF1B0A" w:rsidP="00B02172"/>
          <w:p w14:paraId="7E2B8948" w14:textId="5DC17EDA" w:rsidR="00BF1B0A" w:rsidRDefault="00BF1B0A" w:rsidP="00ED73CE">
            <w:r>
              <w:t xml:space="preserve">De </w:t>
            </w:r>
            <w:r w:rsidR="00BF1D98">
              <w:t>o</w:t>
            </w:r>
            <w:r>
              <w:t xml:space="preserve">pdrachtgever zal vooraf aan de </w:t>
            </w:r>
            <w:r w:rsidR="00BF1D98">
              <w:t>o</w:t>
            </w:r>
            <w:r>
              <w:t xml:space="preserve">pdrachtnemer kenbaar maken wat de aanleiding voor het houden van de audit is. De </w:t>
            </w:r>
            <w:r w:rsidR="00BF1D98">
              <w:t>o</w:t>
            </w:r>
            <w:r>
              <w:t>pdrachtgever zal de scope van de audit beperken tot datgene wat nodig is om een antwoord te krijgen op vragen die verband houden met de aanleiding van de audit.</w:t>
            </w:r>
          </w:p>
          <w:p w14:paraId="2B60B0A2" w14:textId="7FAB27BF" w:rsidR="00BF1B0A" w:rsidRDefault="00BF1B0A" w:rsidP="007F0535"/>
        </w:tc>
      </w:tr>
      <w:tr w:rsidR="00BF1B0A" w14:paraId="6229D49F" w14:textId="77777777" w:rsidTr="00BF1B0A">
        <w:trPr>
          <w:cantSplit/>
        </w:trPr>
        <w:tc>
          <w:tcPr>
            <w:tcW w:w="562" w:type="dxa"/>
          </w:tcPr>
          <w:p w14:paraId="3C5355D2" w14:textId="2C65FD75" w:rsidR="00BF1B0A" w:rsidRDefault="00925B90" w:rsidP="0076285E">
            <w:r>
              <w:lastRenderedPageBreak/>
              <w:t>8-3</w:t>
            </w:r>
          </w:p>
        </w:tc>
        <w:tc>
          <w:tcPr>
            <w:tcW w:w="8364" w:type="dxa"/>
          </w:tcPr>
          <w:p w14:paraId="56EA6263" w14:textId="303506CB" w:rsidR="00BF1B0A" w:rsidRDefault="00BF1B0A" w:rsidP="00ED73CE">
            <w:r>
              <w:t>Een audit kan plaatsvinden op andere systemen dan de Haven omgeving die in het kader van de dienstverlening worden gebruikt. Hieronder worden ook niet-elektronisch systemen, zoals bijvoorbeeld een gehanteerd kwaliteitssysteem, bedoeld.  Aanleiding hiervoor kan bijvoorbeeld zijn:</w:t>
            </w:r>
          </w:p>
          <w:p w14:paraId="774C8F68" w14:textId="10C186FF" w:rsidR="00BF1B0A" w:rsidRDefault="00BF1B0A" w:rsidP="00043247">
            <w:pPr>
              <w:pStyle w:val="ListParagraph"/>
              <w:numPr>
                <w:ilvl w:val="0"/>
                <w:numId w:val="7"/>
              </w:numPr>
            </w:pPr>
            <w:r>
              <w:t xml:space="preserve">Gerede twijfel over de juistheid van een factuur of rapportage. </w:t>
            </w:r>
          </w:p>
          <w:p w14:paraId="6B648C0C" w14:textId="34EE596A" w:rsidR="00BF1B0A" w:rsidRDefault="00BF1B0A" w:rsidP="00043247">
            <w:pPr>
              <w:pStyle w:val="ListParagraph"/>
              <w:numPr>
                <w:ilvl w:val="0"/>
                <w:numId w:val="7"/>
              </w:numPr>
            </w:pPr>
            <w:r>
              <w:t xml:space="preserve">Gerede twijfel of het door de </w:t>
            </w:r>
            <w:r w:rsidR="00BF1D98">
              <w:t>o</w:t>
            </w:r>
            <w:r>
              <w:t xml:space="preserve">pdrachtnemer uitgevoerde kwaliteitsmanagement van voldoende niveau om de geëiste kwaliteit van de dienstverlening te waarborgen. </w:t>
            </w:r>
          </w:p>
          <w:p w14:paraId="6B91E294" w14:textId="2F54A5B2" w:rsidR="00BF1B0A" w:rsidRDefault="00BF1B0A" w:rsidP="00043247">
            <w:pPr>
              <w:pStyle w:val="ListParagraph"/>
              <w:numPr>
                <w:ilvl w:val="0"/>
                <w:numId w:val="7"/>
              </w:numPr>
            </w:pPr>
            <w:r>
              <w:t xml:space="preserve">Gerede twijfel of de maatregelen die de </w:t>
            </w:r>
            <w:r w:rsidR="00BF1D98">
              <w:t>o</w:t>
            </w:r>
            <w:r>
              <w:t xml:space="preserve">pdrachtnemer heeft getroffen op het gebied van informatiebeveiliging passen bij de eisen die door de </w:t>
            </w:r>
            <w:r w:rsidR="00BF1D98">
              <w:t>o</w:t>
            </w:r>
            <w:r>
              <w:t>pdrachtgever aan informatiebeveiliging zijn gesteld.</w:t>
            </w:r>
          </w:p>
          <w:p w14:paraId="43DA9624" w14:textId="15BB032A" w:rsidR="00BF1B0A" w:rsidRDefault="00BF1B0A" w:rsidP="00043247">
            <w:pPr>
              <w:pStyle w:val="ListParagraph"/>
              <w:numPr>
                <w:ilvl w:val="0"/>
                <w:numId w:val="7"/>
              </w:numPr>
            </w:pPr>
            <w:r>
              <w:t>E</w:t>
            </w:r>
            <w:r w:rsidRPr="00B02172">
              <w:t xml:space="preserve">en verplichting om een audit in te zetten indien dat voor de interne verantwoording van de </w:t>
            </w:r>
            <w:r w:rsidR="00BF1D98">
              <w:t>o</w:t>
            </w:r>
            <w:r w:rsidRPr="00B02172">
              <w:t>pdrachtgever noodzakelijk is of dit door een Rekenkamer wordt vereist</w:t>
            </w:r>
            <w:r>
              <w:t>.</w:t>
            </w:r>
          </w:p>
          <w:p w14:paraId="3CC173D8" w14:textId="1385814A" w:rsidR="00BF1B0A" w:rsidRDefault="00BF1B0A" w:rsidP="00043247"/>
          <w:p w14:paraId="6E4893B9" w14:textId="00B829FC" w:rsidR="00BF1B0A" w:rsidRDefault="00BF1B0A" w:rsidP="00DB6160">
            <w:r>
              <w:t xml:space="preserve">De </w:t>
            </w:r>
            <w:r w:rsidR="00BF1D98">
              <w:t>o</w:t>
            </w:r>
            <w:r>
              <w:t xml:space="preserve">pdrachtgever zal vooraf aan de </w:t>
            </w:r>
            <w:r w:rsidR="00BF1D98">
              <w:t>o</w:t>
            </w:r>
            <w:r>
              <w:t xml:space="preserve">pdrachtnemer kenbaar maken wat de aanleiding voor het houden van de audit is. De </w:t>
            </w:r>
            <w:r w:rsidR="00BF1D98">
              <w:t>o</w:t>
            </w:r>
            <w:r>
              <w:t>pdrachtgever zal de scope van de audit beperken tot datgene wat nodig is om een antwoord te krijgen op vragen die verband houden met de aanleiding van de audit.</w:t>
            </w:r>
          </w:p>
          <w:p w14:paraId="64102C62" w14:textId="7469A224" w:rsidR="00BF1B0A" w:rsidRDefault="00BF1B0A" w:rsidP="00ED73CE"/>
        </w:tc>
      </w:tr>
    </w:tbl>
    <w:p w14:paraId="371596DE" w14:textId="2A7FF59E" w:rsidR="005D68C9" w:rsidRDefault="005D68C9" w:rsidP="009303BB"/>
    <w:sectPr w:rsidR="005D68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6997"/>
    <w:multiLevelType w:val="hybridMultilevel"/>
    <w:tmpl w:val="13AE62D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65E00C4"/>
    <w:multiLevelType w:val="hybridMultilevel"/>
    <w:tmpl w:val="2780BE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70A0B9E"/>
    <w:multiLevelType w:val="hybridMultilevel"/>
    <w:tmpl w:val="082AAE40"/>
    <w:lvl w:ilvl="0" w:tplc="522231C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6D4D81"/>
    <w:multiLevelType w:val="hybridMultilevel"/>
    <w:tmpl w:val="3A368A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A322810"/>
    <w:multiLevelType w:val="hybridMultilevel"/>
    <w:tmpl w:val="579C62C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EA020A4"/>
    <w:multiLevelType w:val="hybridMultilevel"/>
    <w:tmpl w:val="F3B89D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5079742D"/>
    <w:multiLevelType w:val="hybridMultilevel"/>
    <w:tmpl w:val="66E6F5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C887E57"/>
    <w:multiLevelType w:val="hybridMultilevel"/>
    <w:tmpl w:val="6720D8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712724FA"/>
    <w:multiLevelType w:val="hybridMultilevel"/>
    <w:tmpl w:val="CC3CA26E"/>
    <w:lvl w:ilvl="0" w:tplc="90C6A88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72417363"/>
    <w:multiLevelType w:val="hybridMultilevel"/>
    <w:tmpl w:val="DC460BDC"/>
    <w:lvl w:ilvl="0" w:tplc="C94281E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6899336">
    <w:abstractNumId w:val="9"/>
  </w:num>
  <w:num w:numId="2" w16cid:durableId="1667248252">
    <w:abstractNumId w:val="5"/>
  </w:num>
  <w:num w:numId="3" w16cid:durableId="896934665">
    <w:abstractNumId w:val="6"/>
  </w:num>
  <w:num w:numId="4" w16cid:durableId="73818614">
    <w:abstractNumId w:val="7"/>
  </w:num>
  <w:num w:numId="5" w16cid:durableId="1517689163">
    <w:abstractNumId w:val="1"/>
  </w:num>
  <w:num w:numId="6" w16cid:durableId="1314412622">
    <w:abstractNumId w:val="0"/>
  </w:num>
  <w:num w:numId="7" w16cid:durableId="1008602504">
    <w:abstractNumId w:val="4"/>
  </w:num>
  <w:num w:numId="8" w16cid:durableId="177350055">
    <w:abstractNumId w:val="2"/>
  </w:num>
  <w:num w:numId="9" w16cid:durableId="1353989505">
    <w:abstractNumId w:val="3"/>
  </w:num>
  <w:num w:numId="10" w16cid:durableId="6050392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6B2"/>
    <w:rsid w:val="00011EBD"/>
    <w:rsid w:val="00027C2D"/>
    <w:rsid w:val="00030635"/>
    <w:rsid w:val="00043247"/>
    <w:rsid w:val="00043E97"/>
    <w:rsid w:val="0005679F"/>
    <w:rsid w:val="000652E9"/>
    <w:rsid w:val="00071F4F"/>
    <w:rsid w:val="00073879"/>
    <w:rsid w:val="00077B21"/>
    <w:rsid w:val="000A5AA6"/>
    <w:rsid w:val="000B1CE9"/>
    <w:rsid w:val="000C5394"/>
    <w:rsid w:val="000E6C17"/>
    <w:rsid w:val="000F0003"/>
    <w:rsid w:val="000F4D57"/>
    <w:rsid w:val="00102EB6"/>
    <w:rsid w:val="00106803"/>
    <w:rsid w:val="001118B2"/>
    <w:rsid w:val="001132B8"/>
    <w:rsid w:val="00121E03"/>
    <w:rsid w:val="001301B8"/>
    <w:rsid w:val="0015534E"/>
    <w:rsid w:val="001577CA"/>
    <w:rsid w:val="001A6536"/>
    <w:rsid w:val="001B6F8B"/>
    <w:rsid w:val="001E474B"/>
    <w:rsid w:val="002120A7"/>
    <w:rsid w:val="002121F7"/>
    <w:rsid w:val="0021387A"/>
    <w:rsid w:val="00251A90"/>
    <w:rsid w:val="002562BA"/>
    <w:rsid w:val="00270F62"/>
    <w:rsid w:val="002823EF"/>
    <w:rsid w:val="00284A02"/>
    <w:rsid w:val="002A3A3D"/>
    <w:rsid w:val="002A437D"/>
    <w:rsid w:val="002A5A2B"/>
    <w:rsid w:val="002C3DBE"/>
    <w:rsid w:val="002E717D"/>
    <w:rsid w:val="002F39B7"/>
    <w:rsid w:val="00301CE5"/>
    <w:rsid w:val="003245A5"/>
    <w:rsid w:val="00326847"/>
    <w:rsid w:val="0033546F"/>
    <w:rsid w:val="0037489D"/>
    <w:rsid w:val="00380DD4"/>
    <w:rsid w:val="00384F37"/>
    <w:rsid w:val="003A1C7D"/>
    <w:rsid w:val="003A451A"/>
    <w:rsid w:val="003B7333"/>
    <w:rsid w:val="003E2C99"/>
    <w:rsid w:val="003F2A6B"/>
    <w:rsid w:val="004D727C"/>
    <w:rsid w:val="004E07CB"/>
    <w:rsid w:val="004F3C24"/>
    <w:rsid w:val="00591B46"/>
    <w:rsid w:val="005A4A83"/>
    <w:rsid w:val="005C61C0"/>
    <w:rsid w:val="005D0033"/>
    <w:rsid w:val="005D68C9"/>
    <w:rsid w:val="005D7B08"/>
    <w:rsid w:val="005E0808"/>
    <w:rsid w:val="005F051E"/>
    <w:rsid w:val="005F2244"/>
    <w:rsid w:val="00615AA3"/>
    <w:rsid w:val="00682257"/>
    <w:rsid w:val="006862DD"/>
    <w:rsid w:val="006B5B50"/>
    <w:rsid w:val="006D3B01"/>
    <w:rsid w:val="007035D9"/>
    <w:rsid w:val="0071659A"/>
    <w:rsid w:val="007300CF"/>
    <w:rsid w:val="00765478"/>
    <w:rsid w:val="0077292C"/>
    <w:rsid w:val="007802DB"/>
    <w:rsid w:val="00795C76"/>
    <w:rsid w:val="007B45C2"/>
    <w:rsid w:val="007D0428"/>
    <w:rsid w:val="007E2F39"/>
    <w:rsid w:val="007F0535"/>
    <w:rsid w:val="008342CA"/>
    <w:rsid w:val="00837970"/>
    <w:rsid w:val="008477D5"/>
    <w:rsid w:val="008559E7"/>
    <w:rsid w:val="008651D6"/>
    <w:rsid w:val="008857A4"/>
    <w:rsid w:val="008A036A"/>
    <w:rsid w:val="008C2EBD"/>
    <w:rsid w:val="008E4F2E"/>
    <w:rsid w:val="008F2ACF"/>
    <w:rsid w:val="00900CCD"/>
    <w:rsid w:val="00907D3D"/>
    <w:rsid w:val="00925B90"/>
    <w:rsid w:val="009303BB"/>
    <w:rsid w:val="00930BE6"/>
    <w:rsid w:val="009347C1"/>
    <w:rsid w:val="00936CC3"/>
    <w:rsid w:val="0095502F"/>
    <w:rsid w:val="00955C56"/>
    <w:rsid w:val="009741C3"/>
    <w:rsid w:val="009748C7"/>
    <w:rsid w:val="00974B0B"/>
    <w:rsid w:val="00983B63"/>
    <w:rsid w:val="0098656E"/>
    <w:rsid w:val="00986CA4"/>
    <w:rsid w:val="009B0F5F"/>
    <w:rsid w:val="009C0028"/>
    <w:rsid w:val="009F22DC"/>
    <w:rsid w:val="009F2D53"/>
    <w:rsid w:val="009F7781"/>
    <w:rsid w:val="009F7D82"/>
    <w:rsid w:val="00A10174"/>
    <w:rsid w:val="00A17A86"/>
    <w:rsid w:val="00A2118F"/>
    <w:rsid w:val="00A55D1A"/>
    <w:rsid w:val="00A633DB"/>
    <w:rsid w:val="00A652B7"/>
    <w:rsid w:val="00AB0368"/>
    <w:rsid w:val="00AE1415"/>
    <w:rsid w:val="00B02172"/>
    <w:rsid w:val="00B10D57"/>
    <w:rsid w:val="00B25582"/>
    <w:rsid w:val="00B60AD1"/>
    <w:rsid w:val="00B63C38"/>
    <w:rsid w:val="00B75046"/>
    <w:rsid w:val="00B9343B"/>
    <w:rsid w:val="00BC22DD"/>
    <w:rsid w:val="00BD754A"/>
    <w:rsid w:val="00BE394E"/>
    <w:rsid w:val="00BE3B50"/>
    <w:rsid w:val="00BF1B0A"/>
    <w:rsid w:val="00BF1D98"/>
    <w:rsid w:val="00C36603"/>
    <w:rsid w:val="00C5001F"/>
    <w:rsid w:val="00C6489B"/>
    <w:rsid w:val="00C70808"/>
    <w:rsid w:val="00C94C84"/>
    <w:rsid w:val="00C950F3"/>
    <w:rsid w:val="00CB2740"/>
    <w:rsid w:val="00CB7E68"/>
    <w:rsid w:val="00CD2786"/>
    <w:rsid w:val="00CE44F3"/>
    <w:rsid w:val="00CE60C0"/>
    <w:rsid w:val="00D0597F"/>
    <w:rsid w:val="00D31EA6"/>
    <w:rsid w:val="00D62CEB"/>
    <w:rsid w:val="00D86267"/>
    <w:rsid w:val="00DA4A5D"/>
    <w:rsid w:val="00DB5A98"/>
    <w:rsid w:val="00DB6160"/>
    <w:rsid w:val="00DC2B1B"/>
    <w:rsid w:val="00DD11B3"/>
    <w:rsid w:val="00DE0CFD"/>
    <w:rsid w:val="00DF4E6D"/>
    <w:rsid w:val="00DF6100"/>
    <w:rsid w:val="00E616B2"/>
    <w:rsid w:val="00E917D5"/>
    <w:rsid w:val="00EB7A70"/>
    <w:rsid w:val="00EC1FCF"/>
    <w:rsid w:val="00ED2C75"/>
    <w:rsid w:val="00ED31E4"/>
    <w:rsid w:val="00ED73CE"/>
    <w:rsid w:val="00EE0DBE"/>
    <w:rsid w:val="00F14AE3"/>
    <w:rsid w:val="00F328D3"/>
    <w:rsid w:val="00F57DB0"/>
    <w:rsid w:val="00F67AF6"/>
    <w:rsid w:val="00F91C62"/>
    <w:rsid w:val="00FA085A"/>
    <w:rsid w:val="00FA6DEF"/>
    <w:rsid w:val="00FB1968"/>
    <w:rsid w:val="00FB6F86"/>
    <w:rsid w:val="00FB796D"/>
    <w:rsid w:val="00FD4A7D"/>
    <w:rsid w:val="00FE0C70"/>
    <w:rsid w:val="00FE1889"/>
    <w:rsid w:val="00FF70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EC0EBE7"/>
  <w15:chartTrackingRefBased/>
  <w15:docId w15:val="{F5854CF4-3B01-5E44-BC11-0D8BB2ED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5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5AA3"/>
    <w:pPr>
      <w:ind w:left="720"/>
      <w:contextualSpacing/>
    </w:pPr>
  </w:style>
  <w:style w:type="character" w:styleId="Hyperlink">
    <w:name w:val="Hyperlink"/>
    <w:basedOn w:val="DefaultParagraphFont"/>
    <w:uiPriority w:val="99"/>
    <w:unhideWhenUsed/>
    <w:rsid w:val="009347C1"/>
    <w:rPr>
      <w:color w:val="0563C1" w:themeColor="hyperlink"/>
      <w:u w:val="single"/>
    </w:rPr>
  </w:style>
  <w:style w:type="character" w:styleId="UnresolvedMention">
    <w:name w:val="Unresolved Mention"/>
    <w:basedOn w:val="DefaultParagraphFont"/>
    <w:uiPriority w:val="99"/>
    <w:semiHidden/>
    <w:unhideWhenUsed/>
    <w:rsid w:val="009347C1"/>
    <w:rPr>
      <w:color w:val="605E5C"/>
      <w:shd w:val="clear" w:color="auto" w:fill="E1DFDD"/>
    </w:rPr>
  </w:style>
  <w:style w:type="character" w:styleId="CommentReference">
    <w:name w:val="annotation reference"/>
    <w:basedOn w:val="DefaultParagraphFont"/>
    <w:uiPriority w:val="99"/>
    <w:semiHidden/>
    <w:unhideWhenUsed/>
    <w:rsid w:val="00A10174"/>
    <w:rPr>
      <w:sz w:val="16"/>
      <w:szCs w:val="16"/>
    </w:rPr>
  </w:style>
  <w:style w:type="paragraph" w:styleId="CommentText">
    <w:name w:val="annotation text"/>
    <w:basedOn w:val="Normal"/>
    <w:link w:val="CommentTextChar"/>
    <w:uiPriority w:val="99"/>
    <w:semiHidden/>
    <w:unhideWhenUsed/>
    <w:rsid w:val="00A10174"/>
    <w:rPr>
      <w:sz w:val="20"/>
      <w:szCs w:val="20"/>
    </w:rPr>
  </w:style>
  <w:style w:type="character" w:customStyle="1" w:styleId="CommentTextChar">
    <w:name w:val="Comment Text Char"/>
    <w:basedOn w:val="DefaultParagraphFont"/>
    <w:link w:val="CommentText"/>
    <w:uiPriority w:val="99"/>
    <w:semiHidden/>
    <w:rsid w:val="00A10174"/>
    <w:rPr>
      <w:sz w:val="20"/>
      <w:szCs w:val="20"/>
    </w:rPr>
  </w:style>
  <w:style w:type="paragraph" w:styleId="CommentSubject">
    <w:name w:val="annotation subject"/>
    <w:basedOn w:val="CommentText"/>
    <w:next w:val="CommentText"/>
    <w:link w:val="CommentSubjectChar"/>
    <w:uiPriority w:val="99"/>
    <w:semiHidden/>
    <w:unhideWhenUsed/>
    <w:rsid w:val="00A10174"/>
    <w:rPr>
      <w:b/>
      <w:bCs/>
    </w:rPr>
  </w:style>
  <w:style w:type="character" w:customStyle="1" w:styleId="CommentSubjectChar">
    <w:name w:val="Comment Subject Char"/>
    <w:basedOn w:val="CommentTextChar"/>
    <w:link w:val="CommentSubject"/>
    <w:uiPriority w:val="99"/>
    <w:semiHidden/>
    <w:rsid w:val="00A10174"/>
    <w:rPr>
      <w:b/>
      <w:bCs/>
      <w:sz w:val="20"/>
      <w:szCs w:val="20"/>
    </w:rPr>
  </w:style>
  <w:style w:type="paragraph" w:styleId="Revision">
    <w:name w:val="Revision"/>
    <w:hidden/>
    <w:uiPriority w:val="99"/>
    <w:semiHidden/>
    <w:rsid w:val="00EE0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aven.commonground.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7</Pages>
  <Words>2503</Words>
  <Characters>14269</Characters>
  <Application>Microsoft Office Word</Application>
  <DocSecurity>0</DocSecurity>
  <Lines>118</Lines>
  <Paragraphs>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Gieben</dc:creator>
  <cp:keywords/>
  <dc:description/>
  <cp:lastModifiedBy>Roderick Schaefer</cp:lastModifiedBy>
  <cp:revision>17</cp:revision>
  <dcterms:created xsi:type="dcterms:W3CDTF">2022-08-15T10:19:00Z</dcterms:created>
  <dcterms:modified xsi:type="dcterms:W3CDTF">2022-08-18T13:09:00Z</dcterms:modified>
</cp:coreProperties>
</file>